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6308"/>
      </w:tblGrid>
      <w:tr w:rsidR="00A774F4" w:rsidRPr="003C0EB9" w14:paraId="1CDB7CF0" w14:textId="77777777" w:rsidTr="00F90830">
        <w:tc>
          <w:tcPr>
            <w:tcW w:w="2808" w:type="dxa"/>
          </w:tcPr>
          <w:p w14:paraId="55D2810A" w14:textId="77777777" w:rsidR="00A774F4" w:rsidRPr="003C0EB9" w:rsidRDefault="00A774F4" w:rsidP="00F90830">
            <w:pPr>
              <w:jc w:val="center"/>
              <w:rPr>
                <w:rFonts w:eastAsia="SimSun" w:cs="Arial"/>
                <w:b/>
                <w:szCs w:val="18"/>
                <w:lang w:val="el-GR" w:eastAsia="zh-CN"/>
              </w:rPr>
            </w:pPr>
            <w:r w:rsidRPr="003C0EB9">
              <w:rPr>
                <w:rFonts w:eastAsia="SimSun" w:cs="Arial"/>
                <w:noProof/>
                <w:szCs w:val="18"/>
                <w:lang w:val="en-US" w:eastAsia="en-US"/>
              </w:rPr>
              <w:drawing>
                <wp:inline distT="0" distB="0" distL="0" distR="0" wp14:anchorId="4A853A02" wp14:editId="740F2BE6">
                  <wp:extent cx="650240" cy="670560"/>
                  <wp:effectExtent l="0" t="0" r="0" b="0"/>
                  <wp:docPr id="1" name="Picture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7AD4277" w14:textId="77777777" w:rsidR="00A774F4" w:rsidRPr="003C0EB9" w:rsidRDefault="00A774F4" w:rsidP="00F90830">
            <w:pPr>
              <w:jc w:val="center"/>
              <w:rPr>
                <w:rFonts w:eastAsia="SimSun" w:cs="Arial"/>
                <w:b/>
                <w:szCs w:val="18"/>
                <w:lang w:eastAsia="zh-CN"/>
              </w:rPr>
            </w:pPr>
          </w:p>
        </w:tc>
      </w:tr>
      <w:tr w:rsidR="00A774F4" w:rsidRPr="003C0EB9" w14:paraId="648779EB" w14:textId="77777777" w:rsidTr="00F90830">
        <w:tc>
          <w:tcPr>
            <w:tcW w:w="2808" w:type="dxa"/>
          </w:tcPr>
          <w:p w14:paraId="2B54D563" w14:textId="77777777" w:rsidR="00A774F4" w:rsidRPr="003C0EB9" w:rsidRDefault="00A774F4" w:rsidP="00F90830">
            <w:pPr>
              <w:jc w:val="center"/>
              <w:rPr>
                <w:rFonts w:eastAsia="SimSun" w:cs="Arial"/>
                <w:b/>
                <w:szCs w:val="18"/>
                <w:lang w:val="el-GR" w:eastAsia="zh-CN"/>
              </w:rPr>
            </w:pPr>
            <w:r w:rsidRPr="003C0EB9">
              <w:rPr>
                <w:rFonts w:eastAsia="SimSun" w:cs="Arial"/>
                <w:b/>
                <w:szCs w:val="18"/>
                <w:lang w:val="el-GR" w:eastAsia="zh-CN"/>
              </w:rPr>
              <w:t>ΚΥΠΡΙΑΚΗ ΔΗΜΟΚΡΑΤΙΑ</w:t>
            </w:r>
          </w:p>
          <w:p w14:paraId="708AF467" w14:textId="77777777" w:rsidR="00A774F4" w:rsidRPr="003C0EB9" w:rsidRDefault="00A774F4" w:rsidP="00F90830">
            <w:pPr>
              <w:jc w:val="center"/>
              <w:rPr>
                <w:rFonts w:eastAsia="SimSun" w:cs="Arial"/>
                <w:szCs w:val="18"/>
                <w:lang w:val="el-GR" w:eastAsia="zh-CN"/>
              </w:rPr>
            </w:pPr>
            <w:r w:rsidRPr="003C0EB9">
              <w:rPr>
                <w:rFonts w:eastAsia="SimSun" w:cs="Arial"/>
                <w:b/>
                <w:szCs w:val="18"/>
                <w:lang w:val="el-GR" w:eastAsia="zh-CN"/>
              </w:rPr>
              <w:t>ΥΠΟΥΡΓΕΙΟ ΥΓΕΙΑΣ</w:t>
            </w:r>
          </w:p>
        </w:tc>
        <w:tc>
          <w:tcPr>
            <w:tcW w:w="6660" w:type="dxa"/>
          </w:tcPr>
          <w:p w14:paraId="1DCF1186" w14:textId="2B78FB9A" w:rsidR="00A774F4" w:rsidRPr="003C0EB9" w:rsidRDefault="00A774F4" w:rsidP="00F90830">
            <w:pPr>
              <w:jc w:val="center"/>
              <w:rPr>
                <w:rFonts w:eastAsia="SimSun" w:cs="Arial"/>
                <w:b/>
                <w:bCs/>
                <w:szCs w:val="18"/>
                <w:lang w:val="el-GR" w:eastAsia="zh-CN"/>
              </w:rPr>
            </w:pPr>
            <w:r w:rsidRPr="003C0EB9">
              <w:rPr>
                <w:rFonts w:eastAsia="SimSun" w:cs="Arial"/>
                <w:b/>
                <w:bCs/>
                <w:szCs w:val="18"/>
                <w:lang w:eastAsia="zh-CN"/>
              </w:rPr>
              <w:t xml:space="preserve">                                        </w:t>
            </w:r>
            <w:r w:rsidRPr="003C0EB9">
              <w:rPr>
                <w:rFonts w:eastAsia="SimSun" w:cs="Arial"/>
                <w:b/>
                <w:bCs/>
                <w:szCs w:val="18"/>
                <w:lang w:val="el-GR" w:eastAsia="zh-CN"/>
              </w:rPr>
              <w:t xml:space="preserve">ΦΑΡΜΑΚΕΥΤΙΚΕΣ </w:t>
            </w:r>
            <w:r w:rsidR="00E25064">
              <w:rPr>
                <w:rFonts w:eastAsia="SimSun" w:cs="Arial"/>
                <w:b/>
                <w:bCs/>
                <w:szCs w:val="18"/>
                <w:lang w:val="el-GR" w:eastAsia="zh-CN"/>
              </w:rPr>
              <w:t xml:space="preserve">    </w:t>
            </w:r>
            <w:r w:rsidRPr="003C0EB9">
              <w:rPr>
                <w:rFonts w:eastAsia="SimSun" w:cs="Arial"/>
                <w:b/>
                <w:bCs/>
                <w:szCs w:val="18"/>
                <w:lang w:val="el-GR" w:eastAsia="zh-CN"/>
              </w:rPr>
              <w:t>ΥΠΗΡΕΣΙΕΣ</w:t>
            </w:r>
          </w:p>
          <w:p w14:paraId="2BE01022" w14:textId="77777777" w:rsidR="00A774F4" w:rsidRPr="003C0EB9" w:rsidRDefault="00A774F4" w:rsidP="00F90830">
            <w:pPr>
              <w:jc w:val="center"/>
              <w:rPr>
                <w:rFonts w:eastAsia="SimSun" w:cs="Arial"/>
                <w:bCs/>
                <w:szCs w:val="18"/>
                <w:lang w:val="el-GR" w:eastAsia="zh-CN"/>
              </w:rPr>
            </w:pPr>
            <w:r w:rsidRPr="003C0EB9">
              <w:rPr>
                <w:rFonts w:eastAsia="SimSun" w:cs="Arial"/>
                <w:bCs/>
                <w:szCs w:val="18"/>
                <w:lang w:val="el-GR" w:eastAsia="zh-CN"/>
              </w:rPr>
              <w:t xml:space="preserve">                                                        </w:t>
            </w:r>
            <w:r w:rsidRPr="003C0EB9">
              <w:rPr>
                <w:rFonts w:eastAsia="SimSun" w:cs="Arial"/>
                <w:bCs/>
                <w:szCs w:val="18"/>
                <w:lang w:eastAsia="zh-CN"/>
              </w:rPr>
              <w:t xml:space="preserve">1475 </w:t>
            </w:r>
            <w:r w:rsidRPr="003C0EB9">
              <w:rPr>
                <w:rFonts w:eastAsia="SimSun" w:cs="Arial"/>
                <w:bCs/>
                <w:szCs w:val="18"/>
                <w:lang w:val="el-GR" w:eastAsia="zh-CN"/>
              </w:rPr>
              <w:t>ΛΕΥΚΩΣΙΑ</w:t>
            </w:r>
          </w:p>
          <w:p w14:paraId="4DD7A2A5" w14:textId="77777777" w:rsidR="00A774F4" w:rsidRPr="003C0EB9" w:rsidRDefault="00A774F4" w:rsidP="00F90830">
            <w:pPr>
              <w:jc w:val="center"/>
              <w:rPr>
                <w:rFonts w:eastAsia="SimSun" w:cs="Arial"/>
                <w:bCs/>
                <w:szCs w:val="18"/>
                <w:lang w:val="el-GR" w:eastAsia="zh-CN"/>
              </w:rPr>
            </w:pPr>
          </w:p>
        </w:tc>
      </w:tr>
      <w:tr w:rsidR="00E25064" w:rsidRPr="003C0EB9" w14:paraId="7BE734A3" w14:textId="77777777" w:rsidTr="00F90830">
        <w:tc>
          <w:tcPr>
            <w:tcW w:w="2808" w:type="dxa"/>
          </w:tcPr>
          <w:p w14:paraId="431A7A11" w14:textId="77777777" w:rsidR="00E25064" w:rsidRPr="003C0EB9" w:rsidRDefault="00E25064" w:rsidP="00E25064">
            <w:pPr>
              <w:rPr>
                <w:rFonts w:eastAsia="SimSun" w:cs="Arial"/>
                <w:b/>
                <w:szCs w:val="18"/>
                <w:lang w:val="el-GR" w:eastAsia="zh-CN"/>
              </w:rPr>
            </w:pPr>
          </w:p>
        </w:tc>
        <w:tc>
          <w:tcPr>
            <w:tcW w:w="6660" w:type="dxa"/>
          </w:tcPr>
          <w:p w14:paraId="69C9C068" w14:textId="77777777" w:rsidR="00E25064" w:rsidRPr="003C0EB9" w:rsidRDefault="00E25064" w:rsidP="00F90830">
            <w:pPr>
              <w:jc w:val="center"/>
              <w:rPr>
                <w:rFonts w:eastAsia="SimSun" w:cs="Arial"/>
                <w:b/>
                <w:bCs/>
                <w:szCs w:val="18"/>
                <w:lang w:eastAsia="zh-CN"/>
              </w:rPr>
            </w:pPr>
          </w:p>
        </w:tc>
      </w:tr>
    </w:tbl>
    <w:p w14:paraId="3C5D0E61" w14:textId="77777777" w:rsidR="00A774F4" w:rsidRPr="003C0EB9" w:rsidRDefault="00A774F4" w:rsidP="00A774F4">
      <w:pPr>
        <w:rPr>
          <w:rFonts w:eastAsia="SimSun" w:cs="Arial"/>
          <w:sz w:val="8"/>
          <w:szCs w:val="18"/>
          <w:lang w:val="el-G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774F4" w:rsidRPr="00A94F0B" w14:paraId="0CB9615C" w14:textId="77777777" w:rsidTr="00F90830">
        <w:trPr>
          <w:jc w:val="center"/>
        </w:trPr>
        <w:tc>
          <w:tcPr>
            <w:tcW w:w="8522" w:type="dxa"/>
          </w:tcPr>
          <w:p w14:paraId="58FD6931" w14:textId="77777777" w:rsidR="00A774F4" w:rsidRPr="003C0EB9" w:rsidRDefault="00A774F4" w:rsidP="00F90830">
            <w:pPr>
              <w:jc w:val="center"/>
              <w:rPr>
                <w:rFonts w:eastAsia="SimSun" w:cs="Arial"/>
                <w:b/>
                <w:szCs w:val="18"/>
                <w:lang w:val="el-GR" w:eastAsia="zh-CN"/>
              </w:rPr>
            </w:pPr>
            <w:r w:rsidRPr="003C0EB9">
              <w:rPr>
                <w:rFonts w:eastAsia="SimSun" w:cs="Arial"/>
                <w:b/>
                <w:szCs w:val="18"/>
                <w:lang w:val="el-GR" w:eastAsia="zh-CN"/>
              </w:rPr>
              <w:t>ΑΠΟΣΤΟΛΗ ΜΕ ΦΑΞ Η/ΚΑΙ ΜΕ ΗΛΕΚΤΡΟΝΙΚΟ ΤΑΧΥΔΡΟΜΕΙΟ</w:t>
            </w:r>
          </w:p>
        </w:tc>
      </w:tr>
    </w:tbl>
    <w:p w14:paraId="3ED8B0C2" w14:textId="77777777" w:rsidR="00A774F4" w:rsidRPr="003C0EB9" w:rsidRDefault="00A774F4" w:rsidP="00A774F4">
      <w:pPr>
        <w:rPr>
          <w:rFonts w:eastAsia="SimSun" w:cs="Arial"/>
          <w:sz w:val="22"/>
          <w:szCs w:val="18"/>
          <w:lang w:val="el-GR" w:eastAsia="zh-CN"/>
        </w:rPr>
      </w:pPr>
      <w:bookmarkStart w:id="0" w:name="_GoBack"/>
      <w:bookmarkEnd w:id="0"/>
    </w:p>
    <w:p w14:paraId="5248D9CC" w14:textId="7F66EBC8" w:rsidR="00A774F4" w:rsidRPr="003C0EB9" w:rsidRDefault="00A774F4" w:rsidP="009E5CFE">
      <w:pPr>
        <w:ind w:right="-514"/>
        <w:jc w:val="both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Αρ. Φακ.:</w:t>
      </w:r>
      <w:r w:rsidRPr="003C0EB9">
        <w:rPr>
          <w:rFonts w:eastAsia="SimSun" w:cs="Arial"/>
          <w:sz w:val="20"/>
          <w:szCs w:val="18"/>
          <w:lang w:val="el-GR" w:eastAsia="zh-CN"/>
        </w:rPr>
        <w:tab/>
        <w:t>Φ.Υ 4.12.10.14</w:t>
      </w:r>
      <w:r w:rsidRPr="003C0EB9">
        <w:rPr>
          <w:rFonts w:eastAsia="SimSun" w:cs="Arial"/>
          <w:bCs/>
          <w:sz w:val="20"/>
          <w:szCs w:val="18"/>
          <w:lang w:val="el-GR" w:eastAsia="zh-CN"/>
        </w:rPr>
        <w:t xml:space="preserve"> </w:t>
      </w:r>
      <w:r w:rsidRPr="003C0EB9">
        <w:rPr>
          <w:rFonts w:eastAsia="SimSun" w:cs="Arial"/>
          <w:bCs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bCs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bCs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bCs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bCs/>
          <w:sz w:val="20"/>
          <w:szCs w:val="18"/>
          <w:lang w:val="el-GR" w:eastAsia="zh-CN"/>
        </w:rPr>
        <w:tab/>
      </w:r>
      <w:r w:rsidR="00A84D0D">
        <w:rPr>
          <w:rFonts w:eastAsia="SimSun" w:cs="Arial"/>
          <w:bCs/>
          <w:sz w:val="20"/>
          <w:szCs w:val="18"/>
          <w:lang w:val="el-GR" w:eastAsia="zh-CN"/>
        </w:rPr>
        <w:t>13</w:t>
      </w:r>
      <w:r w:rsidR="000C5E78">
        <w:rPr>
          <w:rFonts w:eastAsia="SimSun" w:cs="Arial"/>
          <w:bCs/>
          <w:sz w:val="20"/>
          <w:szCs w:val="18"/>
          <w:lang w:val="el-GR" w:eastAsia="zh-CN"/>
        </w:rPr>
        <w:t xml:space="preserve"> </w:t>
      </w:r>
      <w:r w:rsidR="00A84D0D">
        <w:rPr>
          <w:rFonts w:eastAsia="SimSun" w:cs="Arial"/>
          <w:bCs/>
          <w:sz w:val="20"/>
          <w:szCs w:val="18"/>
          <w:lang w:val="el-GR" w:eastAsia="zh-CN"/>
        </w:rPr>
        <w:t>Οκτωβρίου</w:t>
      </w:r>
      <w:r w:rsidR="00C9486E">
        <w:rPr>
          <w:rFonts w:eastAsia="SimSun" w:cs="Arial"/>
          <w:bCs/>
          <w:sz w:val="20"/>
          <w:szCs w:val="18"/>
          <w:lang w:val="el-GR" w:eastAsia="zh-CN"/>
        </w:rPr>
        <w:t xml:space="preserve"> </w:t>
      </w:r>
      <w:r w:rsidR="00E25064">
        <w:rPr>
          <w:rFonts w:eastAsia="SimSun" w:cs="Arial"/>
          <w:bCs/>
          <w:sz w:val="20"/>
          <w:szCs w:val="18"/>
          <w:lang w:val="el-GR" w:eastAsia="zh-CN"/>
        </w:rPr>
        <w:t>2021</w:t>
      </w:r>
      <w:r w:rsidR="009E5CFE">
        <w:rPr>
          <w:rFonts w:eastAsia="SimSun" w:cs="Arial"/>
          <w:bCs/>
          <w:sz w:val="20"/>
          <w:szCs w:val="18"/>
          <w:lang w:val="el-GR" w:eastAsia="zh-CN"/>
        </w:rPr>
        <w:t xml:space="preserve"> </w:t>
      </w:r>
      <w:r w:rsidR="009E5CFE">
        <w:rPr>
          <w:rFonts w:eastAsia="SimSun" w:cs="Arial"/>
          <w:bCs/>
          <w:sz w:val="20"/>
          <w:szCs w:val="18"/>
          <w:lang w:val="el-GR" w:eastAsia="zh-CN"/>
        </w:rPr>
        <w:tab/>
        <w:t xml:space="preserve">         </w:t>
      </w:r>
      <w:r w:rsidRPr="003C0EB9">
        <w:rPr>
          <w:rFonts w:eastAsia="SimSun" w:cs="Arial"/>
          <w:sz w:val="20"/>
          <w:szCs w:val="18"/>
          <w:lang w:val="el-GR" w:eastAsia="zh-CN"/>
        </w:rPr>
        <w:t>Αρ. Τηλ.:</w:t>
      </w:r>
      <w:r w:rsidRPr="003C0EB9">
        <w:rPr>
          <w:rFonts w:eastAsia="SimSun" w:cs="Arial"/>
          <w:sz w:val="20"/>
          <w:szCs w:val="18"/>
          <w:lang w:val="el-GR" w:eastAsia="zh-CN"/>
        </w:rPr>
        <w:tab/>
        <w:t>22608</w:t>
      </w:r>
      <w:r w:rsidR="009E5CFE">
        <w:rPr>
          <w:rFonts w:eastAsia="SimSun" w:cs="Arial"/>
          <w:sz w:val="20"/>
          <w:szCs w:val="18"/>
          <w:lang w:val="el-GR" w:eastAsia="zh-CN"/>
        </w:rPr>
        <w:t>652</w:t>
      </w:r>
    </w:p>
    <w:p w14:paraId="4FD8545B" w14:textId="77777777" w:rsidR="00A774F4" w:rsidRPr="003C0EB9" w:rsidRDefault="00F90830" w:rsidP="00A774F4">
      <w:pPr>
        <w:ind w:right="-284"/>
        <w:jc w:val="both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Αρ. Φαξ :</w:t>
      </w:r>
      <w:r w:rsidRPr="003C0EB9">
        <w:rPr>
          <w:rFonts w:eastAsia="SimSun" w:cs="Arial"/>
          <w:sz w:val="20"/>
          <w:szCs w:val="18"/>
          <w:lang w:val="el-GR" w:eastAsia="zh-CN"/>
        </w:rPr>
        <w:tab/>
        <w:t>2260866</w:t>
      </w:r>
      <w:r w:rsidR="00A774F4" w:rsidRPr="003C0EB9">
        <w:rPr>
          <w:rFonts w:eastAsia="SimSun" w:cs="Arial"/>
          <w:sz w:val="20"/>
          <w:szCs w:val="18"/>
          <w:lang w:val="el-GR" w:eastAsia="zh-CN"/>
        </w:rPr>
        <w:t>9</w:t>
      </w:r>
    </w:p>
    <w:p w14:paraId="3928FA74" w14:textId="134B1491" w:rsidR="00A774F4" w:rsidRPr="00210A31" w:rsidRDefault="00A774F4" w:rsidP="00A774F4">
      <w:pPr>
        <w:ind w:right="-284"/>
        <w:jc w:val="both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eastAsia="zh-CN"/>
        </w:rPr>
        <w:t>Email</w:t>
      </w:r>
      <w:r w:rsidRPr="00210A31">
        <w:rPr>
          <w:rFonts w:eastAsia="SimSun" w:cs="Arial"/>
          <w:sz w:val="20"/>
          <w:szCs w:val="18"/>
          <w:lang w:val="el-GR" w:eastAsia="zh-CN"/>
        </w:rPr>
        <w:t>:</w:t>
      </w:r>
      <w:r w:rsidRPr="00210A31">
        <w:rPr>
          <w:rFonts w:eastAsia="SimSun" w:cs="Arial"/>
          <w:sz w:val="20"/>
          <w:szCs w:val="18"/>
          <w:lang w:val="el-GR" w:eastAsia="zh-CN"/>
        </w:rPr>
        <w:tab/>
      </w:r>
      <w:r w:rsidRPr="00210A31">
        <w:rPr>
          <w:rFonts w:eastAsia="SimSun" w:cs="Arial"/>
          <w:sz w:val="20"/>
          <w:szCs w:val="18"/>
          <w:lang w:val="el-GR" w:eastAsia="zh-CN"/>
        </w:rPr>
        <w:tab/>
      </w:r>
      <w:r w:rsidR="00AF76DD">
        <w:rPr>
          <w:rFonts w:eastAsia="SimSun" w:cs="Arial"/>
          <w:sz w:val="20"/>
          <w:szCs w:val="18"/>
          <w:lang w:val="en-US" w:eastAsia="zh-CN"/>
        </w:rPr>
        <w:t>ppsaras</w:t>
      </w:r>
      <w:r w:rsidR="00210A31" w:rsidRPr="00210A31">
        <w:rPr>
          <w:rFonts w:eastAsia="SimSun" w:cs="Arial"/>
          <w:sz w:val="20"/>
          <w:szCs w:val="18"/>
          <w:lang w:val="el-GR" w:eastAsia="zh-CN"/>
        </w:rPr>
        <w:t>@</w:t>
      </w:r>
      <w:r w:rsidR="00210A31">
        <w:rPr>
          <w:rFonts w:eastAsia="SimSun" w:cs="Arial"/>
          <w:sz w:val="20"/>
          <w:szCs w:val="18"/>
          <w:lang w:val="en-US" w:eastAsia="zh-CN"/>
        </w:rPr>
        <w:t>phs</w:t>
      </w:r>
      <w:r w:rsidR="00210A31" w:rsidRPr="00210A31">
        <w:rPr>
          <w:rFonts w:eastAsia="SimSun" w:cs="Arial"/>
          <w:sz w:val="20"/>
          <w:szCs w:val="18"/>
          <w:lang w:val="el-GR" w:eastAsia="zh-CN"/>
        </w:rPr>
        <w:t>.</w:t>
      </w:r>
      <w:r w:rsidR="00210A31">
        <w:rPr>
          <w:rFonts w:eastAsia="SimSun" w:cs="Arial"/>
          <w:sz w:val="20"/>
          <w:szCs w:val="18"/>
          <w:lang w:val="en-US" w:eastAsia="zh-CN"/>
        </w:rPr>
        <w:t>moh</w:t>
      </w:r>
      <w:r w:rsidR="00210A31" w:rsidRPr="00210A31">
        <w:rPr>
          <w:rFonts w:eastAsia="SimSun" w:cs="Arial"/>
          <w:sz w:val="20"/>
          <w:szCs w:val="18"/>
          <w:lang w:val="el-GR" w:eastAsia="zh-CN"/>
        </w:rPr>
        <w:t>.</w:t>
      </w:r>
      <w:r w:rsidR="00210A31">
        <w:rPr>
          <w:rFonts w:eastAsia="SimSun" w:cs="Arial"/>
          <w:sz w:val="20"/>
          <w:szCs w:val="18"/>
          <w:lang w:val="en-US" w:eastAsia="zh-CN"/>
        </w:rPr>
        <w:t>gov</w:t>
      </w:r>
      <w:r w:rsidR="00210A31" w:rsidRPr="00210A31">
        <w:rPr>
          <w:rFonts w:eastAsia="SimSun" w:cs="Arial"/>
          <w:sz w:val="20"/>
          <w:szCs w:val="18"/>
          <w:lang w:val="el-GR" w:eastAsia="zh-CN"/>
        </w:rPr>
        <w:t>.</w:t>
      </w:r>
      <w:r w:rsidR="00210A31">
        <w:rPr>
          <w:rFonts w:eastAsia="SimSun" w:cs="Arial"/>
          <w:sz w:val="20"/>
          <w:szCs w:val="18"/>
          <w:lang w:val="en-US" w:eastAsia="zh-CN"/>
        </w:rPr>
        <w:t>cy</w:t>
      </w:r>
    </w:p>
    <w:p w14:paraId="741D1458" w14:textId="77777777" w:rsidR="00A774F4" w:rsidRPr="00210A31" w:rsidRDefault="00A774F4" w:rsidP="00A774F4">
      <w:pPr>
        <w:ind w:right="-284"/>
        <w:jc w:val="both"/>
        <w:rPr>
          <w:rFonts w:eastAsia="SimSun" w:cs="Arial"/>
          <w:b/>
          <w:sz w:val="20"/>
          <w:szCs w:val="18"/>
          <w:u w:val="single"/>
          <w:lang w:val="el-GR" w:eastAsia="zh-CN"/>
        </w:rPr>
      </w:pPr>
    </w:p>
    <w:p w14:paraId="1AA27CDE" w14:textId="1C81B04D" w:rsidR="00A774F4" w:rsidRPr="003C0EB9" w:rsidRDefault="00A774F4" w:rsidP="00A774F4">
      <w:pPr>
        <w:outlineLvl w:val="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 xml:space="preserve">Αρ. σελίδων </w:t>
      </w:r>
      <w:r w:rsidR="00A5467C">
        <w:rPr>
          <w:rFonts w:eastAsia="SimSun" w:cs="Arial"/>
          <w:b/>
          <w:sz w:val="20"/>
          <w:szCs w:val="18"/>
          <w:lang w:val="el-GR" w:eastAsia="zh-CN"/>
        </w:rPr>
        <w:t>3</w:t>
      </w:r>
      <w:r w:rsidRPr="003C0EB9">
        <w:rPr>
          <w:rFonts w:eastAsia="SimSun" w:cs="Arial"/>
          <w:color w:val="FF0000"/>
          <w:sz w:val="20"/>
          <w:szCs w:val="18"/>
          <w:lang w:val="el-GR" w:eastAsia="zh-CN"/>
        </w:rPr>
        <w:t xml:space="preserve"> </w:t>
      </w:r>
      <w:r w:rsidRPr="003C0EB9">
        <w:rPr>
          <w:rFonts w:eastAsia="SimSun" w:cs="Arial"/>
          <w:sz w:val="20"/>
          <w:szCs w:val="18"/>
          <w:lang w:val="el-GR" w:eastAsia="zh-CN"/>
        </w:rPr>
        <w:t>(συμπεριλαμβανομένης και αυτής)</w:t>
      </w:r>
    </w:p>
    <w:p w14:paraId="669CFEBA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2FE51A9C" w14:textId="77777777" w:rsidR="00A774F4" w:rsidRPr="003C0EB9" w:rsidRDefault="00A774F4" w:rsidP="00A774F4">
      <w:pPr>
        <w:outlineLvl w:val="0"/>
        <w:rPr>
          <w:rFonts w:eastAsia="SimSun" w:cs="Arial"/>
          <w:b/>
          <w:sz w:val="20"/>
          <w:szCs w:val="18"/>
          <w:u w:val="single"/>
          <w:lang w:val="el-GR" w:eastAsia="zh-CN"/>
        </w:rPr>
      </w:pPr>
      <w:r w:rsidRPr="003C0EB9">
        <w:rPr>
          <w:rFonts w:eastAsia="SimSun" w:cs="Arial"/>
          <w:b/>
          <w:sz w:val="20"/>
          <w:szCs w:val="18"/>
          <w:u w:val="single"/>
          <w:lang w:val="el-GR" w:eastAsia="zh-CN"/>
        </w:rPr>
        <w:t>ΠΡΟΣ:</w:t>
      </w:r>
    </w:p>
    <w:p w14:paraId="033AA1E0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7B60C19F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κ. Μαργαρίτα Κυριάκου, Λειτουργό Τύπου Υπουργείου Υγείας</w:t>
      </w:r>
    </w:p>
    <w:p w14:paraId="49F0FA42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3CBD8C5F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b/>
          <w:sz w:val="20"/>
          <w:szCs w:val="18"/>
          <w:u w:val="single"/>
          <w:lang w:eastAsia="zh-CN"/>
        </w:rPr>
        <w:t>K</w:t>
      </w:r>
      <w:r w:rsidRPr="003C0EB9">
        <w:rPr>
          <w:rFonts w:eastAsia="SimSun" w:cs="Arial"/>
          <w:b/>
          <w:sz w:val="20"/>
          <w:szCs w:val="18"/>
          <w:u w:val="single"/>
          <w:lang w:val="el-GR" w:eastAsia="zh-CN"/>
        </w:rPr>
        <w:t>ΟΙΝΟΠΟΙΗΣΗ (</w:t>
      </w:r>
      <w:r w:rsidRPr="003C0EB9">
        <w:rPr>
          <w:rFonts w:eastAsia="SimSun" w:cs="Arial"/>
          <w:b/>
          <w:sz w:val="20"/>
          <w:szCs w:val="18"/>
          <w:u w:val="single"/>
          <w:lang w:eastAsia="zh-CN"/>
        </w:rPr>
        <w:t>Fax</w:t>
      </w:r>
      <w:r w:rsidRPr="003C0EB9">
        <w:rPr>
          <w:rFonts w:eastAsia="SimSun" w:cs="Arial"/>
          <w:b/>
          <w:sz w:val="20"/>
          <w:szCs w:val="18"/>
          <w:u w:val="single"/>
          <w:lang w:val="el-GR" w:eastAsia="zh-CN"/>
        </w:rPr>
        <w:t xml:space="preserve"> ή </w:t>
      </w:r>
      <w:r w:rsidRPr="003C0EB9">
        <w:rPr>
          <w:rFonts w:eastAsia="SimSun" w:cs="Arial"/>
          <w:b/>
          <w:sz w:val="20"/>
          <w:szCs w:val="18"/>
          <w:u w:val="single"/>
          <w:lang w:eastAsia="zh-CN"/>
        </w:rPr>
        <w:t>email</w:t>
      </w:r>
      <w:r w:rsidRPr="003C0EB9">
        <w:rPr>
          <w:rFonts w:eastAsia="SimSun" w:cs="Arial"/>
          <w:b/>
          <w:sz w:val="20"/>
          <w:szCs w:val="18"/>
          <w:u w:val="single"/>
          <w:lang w:val="el-GR" w:eastAsia="zh-CN"/>
        </w:rPr>
        <w:t>):</w:t>
      </w:r>
    </w:p>
    <w:p w14:paraId="4EBEDC8C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0B1FBE01" w14:textId="5F81C2B7" w:rsidR="00A774F4" w:rsidRPr="00E64972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Υπουργό Υγείας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="00E2506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5BC8E95B" w14:textId="7F4A4122" w:rsidR="00A774F4" w:rsidRPr="00E64972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 xml:space="preserve">Γενική Διευθύντρια Υπουργείου Υγείας 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="00E2506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45AD1C5A" w14:textId="55D8615B" w:rsidR="00A774F4" w:rsidRPr="003C0EB9" w:rsidRDefault="00E2506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>
        <w:rPr>
          <w:rFonts w:eastAsia="SimSun" w:cs="Arial"/>
          <w:sz w:val="20"/>
          <w:szCs w:val="18"/>
          <w:lang w:val="el-GR" w:eastAsia="zh-CN"/>
        </w:rPr>
        <w:t xml:space="preserve">Αν. </w:t>
      </w:r>
      <w:r w:rsidR="00A774F4" w:rsidRPr="003C0EB9">
        <w:rPr>
          <w:rFonts w:eastAsia="SimSun" w:cs="Arial"/>
          <w:sz w:val="20"/>
          <w:szCs w:val="18"/>
          <w:lang w:val="el-GR" w:eastAsia="zh-CN"/>
        </w:rPr>
        <w:t>Διευθ</w:t>
      </w:r>
      <w:r>
        <w:rPr>
          <w:rFonts w:eastAsia="SimSun" w:cs="Arial"/>
          <w:sz w:val="20"/>
          <w:szCs w:val="18"/>
          <w:lang w:val="el-GR" w:eastAsia="zh-CN"/>
        </w:rPr>
        <w:t>ύντρια</w:t>
      </w:r>
      <w:r w:rsidR="00A774F4" w:rsidRPr="003C0EB9">
        <w:rPr>
          <w:rFonts w:eastAsia="SimSun" w:cs="Arial"/>
          <w:sz w:val="20"/>
          <w:szCs w:val="18"/>
          <w:lang w:val="el-GR" w:eastAsia="zh-CN"/>
        </w:rPr>
        <w:t xml:space="preserve"> Φαρμακευτικών Υπηρεσιών</w:t>
      </w:r>
      <w:r w:rsidR="00A774F4" w:rsidRPr="003C0EB9">
        <w:rPr>
          <w:rFonts w:eastAsia="SimSun" w:cs="Arial"/>
          <w:sz w:val="20"/>
          <w:szCs w:val="18"/>
          <w:lang w:val="el-GR" w:eastAsia="zh-CN"/>
        </w:rPr>
        <w:tab/>
      </w:r>
      <w:r w:rsidR="00A774F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1D258FCD" w14:textId="77777777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Διευθυντή Γενικού Χημείου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450A5C8D" w14:textId="6713A599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 xml:space="preserve">κ. Ειρήνη Χρυσάφη 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="00E2506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398D6617" w14:textId="5187B189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 xml:space="preserve">κ. Αιμιλία Μαυροκορδάτου 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="00E2506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1F456817" w14:textId="44FBDBF9" w:rsidR="00506983" w:rsidRDefault="00506983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>
        <w:rPr>
          <w:rFonts w:eastAsia="SimSun" w:cs="Arial"/>
          <w:sz w:val="20"/>
          <w:szCs w:val="18"/>
          <w:lang w:val="el-GR" w:eastAsia="zh-CN"/>
        </w:rPr>
        <w:t>Δρ. Χαρά Αζίνα</w:t>
      </w:r>
      <w:r>
        <w:rPr>
          <w:rFonts w:eastAsia="SimSun" w:cs="Arial"/>
          <w:sz w:val="20"/>
          <w:szCs w:val="18"/>
          <w:lang w:val="el-GR" w:eastAsia="zh-CN"/>
        </w:rPr>
        <w:tab/>
      </w:r>
      <w:r>
        <w:rPr>
          <w:rFonts w:eastAsia="SimSun" w:cs="Arial"/>
          <w:sz w:val="20"/>
          <w:szCs w:val="18"/>
          <w:lang w:val="el-GR" w:eastAsia="zh-CN"/>
        </w:rPr>
        <w:tab/>
      </w:r>
      <w:r>
        <w:rPr>
          <w:rFonts w:eastAsia="SimSun" w:cs="Arial"/>
          <w:sz w:val="20"/>
          <w:szCs w:val="18"/>
          <w:lang w:val="el-GR" w:eastAsia="zh-CN"/>
        </w:rPr>
        <w:tab/>
      </w:r>
      <w:r>
        <w:rPr>
          <w:rFonts w:eastAsia="SimSun" w:cs="Arial"/>
          <w:sz w:val="20"/>
          <w:szCs w:val="18"/>
          <w:lang w:val="el-GR" w:eastAsia="zh-CN"/>
        </w:rPr>
        <w:tab/>
      </w:r>
      <w:r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0092442B" w14:textId="152A9FE9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 xml:space="preserve">Δρ Μάρω Κληρίδου 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n-US" w:eastAsia="zh-CN"/>
        </w:rPr>
        <w:t>email</w:t>
      </w:r>
    </w:p>
    <w:p w14:paraId="064DE7DD" w14:textId="77777777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Δρ Πέτρο Αγαθαγγέλου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n-US" w:eastAsia="zh-CN"/>
        </w:rPr>
        <w:t>email</w:t>
      </w:r>
    </w:p>
    <w:p w14:paraId="75C4AC46" w14:textId="77777777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Δρ. Φίλιππο Στυλιανού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1511FE77" w14:textId="77777777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κ. Πλούταρχο Γεωργιάδη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6E5BC736" w14:textId="77777777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κ. Κώστα Ευαγγέλου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eastAsia="zh-CN"/>
        </w:rPr>
        <w:t>email</w:t>
      </w:r>
      <w:r w:rsidRPr="003C0EB9">
        <w:rPr>
          <w:rFonts w:eastAsia="SimSun" w:cs="Arial"/>
          <w:sz w:val="20"/>
          <w:szCs w:val="18"/>
          <w:lang w:val="el-GR" w:eastAsia="zh-CN"/>
        </w:rPr>
        <w:t xml:space="preserve"> </w:t>
      </w:r>
    </w:p>
    <w:p w14:paraId="51F6545C" w14:textId="2A1DF124" w:rsidR="00A774F4" w:rsidRPr="00C9486E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Διευθύντρια Ιατρικών Υπηρεσιών &amp; ΥΔΥ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="00E2506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720F1D11" w14:textId="1D6336DD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Πρόεδρο Παγκύπριου Ιατρικού Συλλόγου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="00E25064"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48DB189A" w14:textId="77777777" w:rsidR="00A774F4" w:rsidRPr="003C0EB9" w:rsidRDefault="00A774F4" w:rsidP="00A774F4">
      <w:pPr>
        <w:ind w:firstLine="72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Πρόεδρο Παγκύπριου Φαρμακευτικού Συλλόγου</w:t>
      </w:r>
      <w:r w:rsidRPr="003C0EB9">
        <w:rPr>
          <w:rFonts w:eastAsia="SimSun" w:cs="Arial"/>
          <w:sz w:val="20"/>
          <w:szCs w:val="18"/>
          <w:lang w:val="el-GR" w:eastAsia="zh-CN"/>
        </w:rPr>
        <w:tab/>
      </w:r>
      <w:r w:rsidRPr="003C0EB9">
        <w:rPr>
          <w:rFonts w:eastAsia="SimSun" w:cs="Arial"/>
          <w:sz w:val="20"/>
          <w:szCs w:val="18"/>
          <w:lang w:eastAsia="zh-CN"/>
        </w:rPr>
        <w:t>email</w:t>
      </w:r>
    </w:p>
    <w:p w14:paraId="26D97C13" w14:textId="77777777" w:rsidR="00A774F4" w:rsidRPr="003C0EB9" w:rsidRDefault="00A774F4" w:rsidP="00A774F4">
      <w:pPr>
        <w:jc w:val="center"/>
        <w:rPr>
          <w:rFonts w:eastAsia="SimSun" w:cs="Arial"/>
          <w:b/>
          <w:sz w:val="20"/>
          <w:szCs w:val="18"/>
          <w:lang w:val="el-GR" w:eastAsia="zh-CN"/>
        </w:rPr>
      </w:pPr>
    </w:p>
    <w:p w14:paraId="0079BB00" w14:textId="77777777" w:rsidR="00A774F4" w:rsidRPr="003C0EB9" w:rsidRDefault="00A774F4" w:rsidP="00A774F4">
      <w:pPr>
        <w:jc w:val="center"/>
        <w:rPr>
          <w:rFonts w:eastAsia="SimSun" w:cs="Arial"/>
          <w:b/>
          <w:sz w:val="20"/>
          <w:szCs w:val="18"/>
          <w:lang w:val="el-GR" w:eastAsia="zh-CN"/>
        </w:rPr>
      </w:pPr>
    </w:p>
    <w:p w14:paraId="59079729" w14:textId="77777777" w:rsidR="00A774F4" w:rsidRPr="003C0EB9" w:rsidRDefault="00A774F4" w:rsidP="00A774F4">
      <w:pPr>
        <w:jc w:val="center"/>
        <w:rPr>
          <w:rFonts w:eastAsia="SimSun" w:cs="Arial"/>
          <w:b/>
          <w:sz w:val="20"/>
          <w:szCs w:val="18"/>
          <w:u w:val="single"/>
          <w:lang w:val="el-GR" w:eastAsia="zh-CN"/>
        </w:rPr>
      </w:pPr>
      <w:r w:rsidRPr="003C0EB9">
        <w:rPr>
          <w:rFonts w:eastAsia="SimSun" w:cs="Arial"/>
          <w:b/>
          <w:sz w:val="20"/>
          <w:szCs w:val="18"/>
          <w:lang w:val="el-GR" w:eastAsia="zh-CN"/>
        </w:rPr>
        <w:t xml:space="preserve">ΘΕΜΑ: </w:t>
      </w:r>
      <w:r w:rsidRPr="003C0EB9">
        <w:rPr>
          <w:rFonts w:eastAsia="SimSun" w:cs="Arial"/>
          <w:b/>
          <w:sz w:val="20"/>
          <w:szCs w:val="18"/>
          <w:u w:val="single"/>
          <w:lang w:val="el-GR" w:eastAsia="zh-CN"/>
        </w:rPr>
        <w:t>Δελτίο Τύπου: Ανακοίνωση του Ευρωπαϊκού Οργανισμού Φαρμάκων</w:t>
      </w:r>
    </w:p>
    <w:p w14:paraId="133EE786" w14:textId="77777777" w:rsidR="00A774F4" w:rsidRPr="003C0EB9" w:rsidRDefault="00A774F4" w:rsidP="00A774F4">
      <w:pPr>
        <w:jc w:val="center"/>
        <w:rPr>
          <w:rFonts w:eastAsia="SimSun" w:cs="Arial"/>
          <w:b/>
          <w:sz w:val="20"/>
          <w:szCs w:val="18"/>
          <w:u w:val="single"/>
          <w:lang w:val="el-GR" w:eastAsia="zh-CN"/>
        </w:rPr>
      </w:pPr>
    </w:p>
    <w:p w14:paraId="6F44C6A2" w14:textId="77777777" w:rsidR="00A774F4" w:rsidRPr="003C0EB9" w:rsidRDefault="00A774F4" w:rsidP="00A774F4">
      <w:pPr>
        <w:jc w:val="both"/>
        <w:rPr>
          <w:rFonts w:eastAsia="SimSun" w:cs="Arial"/>
          <w:sz w:val="20"/>
          <w:szCs w:val="18"/>
          <w:lang w:val="el-GR" w:eastAsia="zh-CN"/>
        </w:rPr>
      </w:pPr>
    </w:p>
    <w:p w14:paraId="3C853594" w14:textId="77777777" w:rsidR="00A774F4" w:rsidRPr="003C0EB9" w:rsidRDefault="00A774F4" w:rsidP="00A774F4">
      <w:pPr>
        <w:jc w:val="both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Επισυνάπτεται ανακοίνωση των Φαρμακευτικών Υπηρεσιών σχετική με το πιο πάνω θέμα και παρακαλώ όπως δώσετε οδηγίες για διανομή της στα μέσα μαζικής ενημέρωσης.</w:t>
      </w:r>
    </w:p>
    <w:p w14:paraId="5D654B00" w14:textId="77777777" w:rsidR="00A774F4" w:rsidRPr="003C0EB9" w:rsidRDefault="00A774F4" w:rsidP="00A774F4">
      <w:pPr>
        <w:jc w:val="both"/>
        <w:rPr>
          <w:rFonts w:eastAsia="SimSun" w:cs="Arial"/>
          <w:sz w:val="20"/>
          <w:szCs w:val="18"/>
          <w:u w:val="single"/>
          <w:lang w:val="el-GR" w:eastAsia="zh-CN"/>
        </w:rPr>
      </w:pPr>
    </w:p>
    <w:p w14:paraId="11FB2FD8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6C673A12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4F2BC51E" w14:textId="77777777" w:rsidR="00A774F4" w:rsidRPr="003C0EB9" w:rsidRDefault="00A774F4" w:rsidP="00A774F4">
      <w:pPr>
        <w:rPr>
          <w:rFonts w:eastAsia="SimSun" w:cs="Arial"/>
          <w:sz w:val="20"/>
          <w:szCs w:val="18"/>
          <w:lang w:val="el-GR" w:eastAsia="zh-CN"/>
        </w:rPr>
      </w:pPr>
    </w:p>
    <w:p w14:paraId="41BFA294" w14:textId="5C7AEC68" w:rsidR="00E25064" w:rsidRDefault="00BA343B" w:rsidP="00A774F4">
      <w:pPr>
        <w:rPr>
          <w:rFonts w:eastAsia="SimSun" w:cs="Arial"/>
          <w:sz w:val="20"/>
          <w:szCs w:val="18"/>
          <w:lang w:val="el-GR" w:eastAsia="zh-CN"/>
        </w:rPr>
      </w:pPr>
      <w:r>
        <w:rPr>
          <w:rFonts w:eastAsia="SimSun" w:cs="Arial"/>
          <w:sz w:val="20"/>
          <w:szCs w:val="18"/>
          <w:lang w:val="el-GR" w:eastAsia="zh-CN"/>
        </w:rPr>
        <w:t>Παναγιώτης Ψαράς</w:t>
      </w:r>
      <w:r w:rsidR="00C9486E">
        <w:rPr>
          <w:rFonts w:eastAsia="SimSun" w:cs="Arial"/>
          <w:sz w:val="20"/>
          <w:szCs w:val="18"/>
          <w:lang w:val="el-GR" w:eastAsia="zh-CN"/>
        </w:rPr>
        <w:t xml:space="preserve">, </w:t>
      </w:r>
    </w:p>
    <w:p w14:paraId="5D35DE0C" w14:textId="2A9FB6D5" w:rsidR="00A774F4" w:rsidRPr="003C0EB9" w:rsidRDefault="003C0EB9" w:rsidP="00A774F4">
      <w:pPr>
        <w:rPr>
          <w:rFonts w:eastAsia="SimSun" w:cs="Arial"/>
          <w:sz w:val="20"/>
          <w:szCs w:val="18"/>
          <w:lang w:val="el-GR" w:eastAsia="zh-CN"/>
        </w:rPr>
      </w:pPr>
      <w:r>
        <w:rPr>
          <w:rFonts w:eastAsia="SimSun" w:cs="Arial"/>
          <w:sz w:val="20"/>
          <w:szCs w:val="18"/>
          <w:lang w:val="el-GR" w:eastAsia="zh-CN"/>
        </w:rPr>
        <w:t>Τομέα</w:t>
      </w:r>
      <w:r w:rsidR="00E25064">
        <w:rPr>
          <w:rFonts w:eastAsia="SimSun" w:cs="Arial"/>
          <w:sz w:val="20"/>
          <w:szCs w:val="18"/>
          <w:lang w:val="el-GR" w:eastAsia="zh-CN"/>
        </w:rPr>
        <w:t>ς</w:t>
      </w:r>
      <w:r>
        <w:rPr>
          <w:rFonts w:eastAsia="SimSun" w:cs="Arial"/>
          <w:sz w:val="20"/>
          <w:szCs w:val="18"/>
          <w:lang w:val="el-GR" w:eastAsia="zh-CN"/>
        </w:rPr>
        <w:t xml:space="preserve"> </w:t>
      </w:r>
      <w:r w:rsidR="009F7D89">
        <w:rPr>
          <w:rFonts w:eastAsia="SimSun" w:cs="Arial"/>
          <w:sz w:val="20"/>
          <w:szCs w:val="18"/>
          <w:lang w:val="el-GR" w:eastAsia="zh-CN"/>
        </w:rPr>
        <w:t xml:space="preserve">Φαρμακοεπαγρύπνησης και Κλινικών </w:t>
      </w:r>
      <w:r w:rsidR="00E25064">
        <w:rPr>
          <w:rFonts w:eastAsia="SimSun" w:cs="Arial"/>
          <w:sz w:val="20"/>
          <w:szCs w:val="18"/>
          <w:lang w:val="el-GR" w:eastAsia="zh-CN"/>
        </w:rPr>
        <w:t>Δοκιμών</w:t>
      </w:r>
    </w:p>
    <w:p w14:paraId="76945D81" w14:textId="77777777" w:rsidR="00A774F4" w:rsidRPr="003C0EB9" w:rsidRDefault="00A774F4" w:rsidP="00A774F4">
      <w:pPr>
        <w:outlineLvl w:val="0"/>
        <w:rPr>
          <w:rFonts w:eastAsia="SimSun" w:cs="Arial"/>
          <w:sz w:val="20"/>
          <w:szCs w:val="18"/>
          <w:lang w:val="el-GR" w:eastAsia="zh-CN"/>
        </w:rPr>
      </w:pPr>
    </w:p>
    <w:p w14:paraId="34D41453" w14:textId="77777777" w:rsidR="00A774F4" w:rsidRPr="003C0EB9" w:rsidRDefault="00A774F4" w:rsidP="00DD6B6A">
      <w:pPr>
        <w:outlineLvl w:val="0"/>
        <w:rPr>
          <w:rFonts w:eastAsia="SimSun" w:cs="Arial"/>
          <w:sz w:val="20"/>
          <w:szCs w:val="18"/>
          <w:lang w:val="el-GR" w:eastAsia="zh-CN"/>
        </w:rPr>
      </w:pPr>
      <w:r w:rsidRPr="003C0EB9">
        <w:rPr>
          <w:rFonts w:eastAsia="SimSun" w:cs="Arial"/>
          <w:sz w:val="20"/>
          <w:szCs w:val="18"/>
          <w:lang w:val="el-GR" w:eastAsia="zh-CN"/>
        </w:rPr>
        <w:t>Για Έφορο Συμβουλίου Φαρμάκων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04"/>
        <w:gridCol w:w="222"/>
      </w:tblGrid>
      <w:tr w:rsidR="00A774F4" w:rsidRPr="003C0EB9" w14:paraId="41286D07" w14:textId="77777777" w:rsidTr="00F90830">
        <w:trPr>
          <w:trHeight w:val="1501"/>
        </w:trPr>
        <w:tc>
          <w:tcPr>
            <w:tcW w:w="9020" w:type="dxa"/>
            <w:shd w:val="clear" w:color="auto" w:fill="auto"/>
          </w:tcPr>
          <w:tbl>
            <w:tblPr>
              <w:tblStyle w:val="TableGrid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395"/>
            </w:tblGrid>
            <w:tr w:rsidR="00A774F4" w:rsidRPr="003C0EB9" w14:paraId="6B57C976" w14:textId="77777777" w:rsidTr="00A774F4">
              <w:tc>
                <w:tcPr>
                  <w:tcW w:w="4531" w:type="dxa"/>
                </w:tcPr>
                <w:p w14:paraId="471C94BC" w14:textId="77777777" w:rsidR="00A774F4" w:rsidRPr="003C0EB9" w:rsidRDefault="00A774F4" w:rsidP="00A774F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  <w:bookmarkStart w:id="1" w:name="Head"/>
                  <w:bookmarkEnd w:id="1"/>
                  <w:r w:rsidRPr="003C0EB9">
                    <w:rPr>
                      <w:rFonts w:eastAsia="Calibri"/>
                      <w:noProof/>
                      <w:sz w:val="22"/>
                      <w:szCs w:val="22"/>
                      <w:lang w:val="en-US" w:eastAsia="en-US"/>
                    </w:rPr>
                    <w:lastRenderedPageBreak/>
                    <w:drawing>
                      <wp:inline distT="0" distB="0" distL="0" distR="0" wp14:anchorId="05141A35" wp14:editId="6F3E1C46">
                        <wp:extent cx="760730" cy="753745"/>
                        <wp:effectExtent l="0" t="0" r="1270" b="8255"/>
                        <wp:docPr id="2" name="Picture 2" descr="cypru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ypru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73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dxa"/>
                </w:tcPr>
                <w:p w14:paraId="2E82CF4F" w14:textId="77777777" w:rsidR="00A774F4" w:rsidRPr="003C0EB9" w:rsidRDefault="00A774F4" w:rsidP="00A774F4">
                  <w:pPr>
                    <w:tabs>
                      <w:tab w:val="center" w:pos="4153"/>
                      <w:tab w:val="right" w:pos="8306"/>
                    </w:tabs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A774F4" w:rsidRPr="003C0EB9" w14:paraId="1634A0BB" w14:textId="77777777" w:rsidTr="00F90830">
              <w:tc>
                <w:tcPr>
                  <w:tcW w:w="4531" w:type="dxa"/>
                </w:tcPr>
                <w:p w14:paraId="21D8A3D0" w14:textId="77777777" w:rsidR="00A774F4" w:rsidRPr="003C0EB9" w:rsidRDefault="00A774F4" w:rsidP="00A774F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</w:pPr>
                </w:p>
                <w:p w14:paraId="0F11246E" w14:textId="77777777" w:rsidR="00A774F4" w:rsidRPr="003C0EB9" w:rsidRDefault="00A774F4" w:rsidP="00A774F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</w:pPr>
                  <w:r w:rsidRPr="003C0EB9"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  <w:t>ΚΥΠΡΙΑΚΗ ΔΗΜΟΚΡΑΤΙΑ</w:t>
                  </w:r>
                </w:p>
              </w:tc>
              <w:tc>
                <w:tcPr>
                  <w:tcW w:w="4395" w:type="dxa"/>
                </w:tcPr>
                <w:p w14:paraId="1FAF367A" w14:textId="77777777" w:rsidR="00A774F4" w:rsidRPr="003C0EB9" w:rsidRDefault="00A774F4" w:rsidP="00A774F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</w:pPr>
                  <w:r w:rsidRPr="003C0EB9"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  <w:t>ΦΑΡΜΑΚΕΥΤΙΚΕΣ ΥΠΗΡΕΣΙΕΣ</w:t>
                  </w:r>
                </w:p>
                <w:p w14:paraId="1FC9A7BC" w14:textId="77777777" w:rsidR="00A774F4" w:rsidRPr="003C0EB9" w:rsidRDefault="00A774F4" w:rsidP="00A774F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</w:pPr>
                  <w:r w:rsidRPr="003C0EB9">
                    <w:rPr>
                      <w:rFonts w:eastAsia="Calibri"/>
                      <w:sz w:val="22"/>
                      <w:szCs w:val="22"/>
                      <w:lang w:val="el-GR" w:eastAsia="en-US"/>
                    </w:rPr>
                    <w:t>ΥΠΟΥΡΓΕΙΟ ΥΓΕΙΑΣ</w:t>
                  </w:r>
                </w:p>
              </w:tc>
            </w:tr>
          </w:tbl>
          <w:p w14:paraId="7C06D9B5" w14:textId="77777777" w:rsidR="00A774F4" w:rsidRPr="003C0EB9" w:rsidRDefault="00A774F4" w:rsidP="00A774F4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2DDAE24D" w14:textId="77777777" w:rsidR="00A774F4" w:rsidRPr="003C0EB9" w:rsidRDefault="00A774F4" w:rsidP="00A774F4">
            <w:pPr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</w:tbl>
    <w:p w14:paraId="46EB8334" w14:textId="77777777" w:rsidR="00F90830" w:rsidRPr="003C0EB9" w:rsidRDefault="00F90830" w:rsidP="00A774F4">
      <w:pPr>
        <w:spacing w:after="140" w:line="280" w:lineRule="atLeast"/>
        <w:jc w:val="both"/>
        <w:rPr>
          <w:color w:val="003399"/>
          <w:sz w:val="32"/>
          <w:lang w:val="el-GR"/>
        </w:rPr>
      </w:pPr>
    </w:p>
    <w:p w14:paraId="0EB3F936" w14:textId="01D91155" w:rsidR="00E25064" w:rsidRPr="00F77B37" w:rsidRDefault="00A84D0D" w:rsidP="00E25064">
      <w:pPr>
        <w:pStyle w:val="RefAgency"/>
        <w:tabs>
          <w:tab w:val="left" w:pos="1277"/>
        </w:tabs>
      </w:pPr>
      <w:r>
        <w:rPr>
          <w:noProof/>
          <w:lang w:val="el-GR"/>
        </w:rPr>
        <w:t>13</w:t>
      </w:r>
      <w:r w:rsidR="00E25064">
        <w:rPr>
          <w:noProof/>
        </w:rPr>
        <w:t xml:space="preserve"> </w:t>
      </w:r>
      <w:r>
        <w:rPr>
          <w:noProof/>
          <w:lang w:val="el-GR"/>
        </w:rPr>
        <w:t>Οκτωβρίου</w:t>
      </w:r>
      <w:r w:rsidR="00E25064">
        <w:rPr>
          <w:noProof/>
        </w:rPr>
        <w:t xml:space="preserve"> 2021</w:t>
      </w:r>
    </w:p>
    <w:p w14:paraId="724542DA" w14:textId="77777777" w:rsidR="00C9486E" w:rsidRPr="00FB04F4" w:rsidRDefault="00C9486E" w:rsidP="00C9486E">
      <w:pPr>
        <w:rPr>
          <w:lang w:val="el-GR"/>
        </w:rPr>
      </w:pPr>
    </w:p>
    <w:p w14:paraId="37D098DD" w14:textId="177DC989" w:rsidR="000C5E78" w:rsidRDefault="00A84D0D" w:rsidP="00496752">
      <w:pPr>
        <w:jc w:val="both"/>
        <w:rPr>
          <w:color w:val="365F91" w:themeColor="accent1" w:themeShade="BF"/>
          <w:sz w:val="32"/>
          <w:szCs w:val="32"/>
          <w:lang w:val="el-GR"/>
        </w:rPr>
      </w:pPr>
      <w:r w:rsidRPr="00A84D0D">
        <w:rPr>
          <w:color w:val="365F91" w:themeColor="accent1" w:themeShade="BF"/>
          <w:sz w:val="32"/>
          <w:szCs w:val="32"/>
          <w:lang w:val="el-GR"/>
        </w:rPr>
        <w:t xml:space="preserve">Ο EMA τερματίζει την κυλιόμενη </w:t>
      </w:r>
      <w:r w:rsidR="00506983">
        <w:rPr>
          <w:color w:val="365F91" w:themeColor="accent1" w:themeShade="BF"/>
          <w:sz w:val="32"/>
          <w:szCs w:val="32"/>
          <w:lang w:val="el-GR"/>
        </w:rPr>
        <w:t>ανασκόπηση</w:t>
      </w:r>
      <w:r w:rsidRPr="00A84D0D">
        <w:rPr>
          <w:color w:val="365F91" w:themeColor="accent1" w:themeShade="BF"/>
          <w:sz w:val="32"/>
          <w:szCs w:val="32"/>
          <w:lang w:val="el-GR"/>
        </w:rPr>
        <w:t xml:space="preserve"> του εμβολίου CVnCoV COVID-19 μετά την απόσυρση από την</w:t>
      </w:r>
      <w:r w:rsidR="00D4397E">
        <w:rPr>
          <w:color w:val="365F91" w:themeColor="accent1" w:themeShade="BF"/>
          <w:sz w:val="32"/>
          <w:szCs w:val="32"/>
          <w:lang w:val="el-GR"/>
        </w:rPr>
        <w:t xml:space="preserve"> εταιρία</w:t>
      </w:r>
      <w:r w:rsidRPr="00A84D0D">
        <w:rPr>
          <w:color w:val="365F91" w:themeColor="accent1" w:themeShade="BF"/>
          <w:sz w:val="32"/>
          <w:szCs w:val="32"/>
          <w:lang w:val="el-GR"/>
        </w:rPr>
        <w:t xml:space="preserve"> CureVac AG</w:t>
      </w:r>
    </w:p>
    <w:p w14:paraId="7C5EE556" w14:textId="77777777" w:rsidR="00A84D0D" w:rsidRPr="00496752" w:rsidRDefault="00A84D0D" w:rsidP="00496752">
      <w:pPr>
        <w:jc w:val="both"/>
        <w:rPr>
          <w:color w:val="365F91" w:themeColor="accent1" w:themeShade="BF"/>
          <w:sz w:val="32"/>
          <w:szCs w:val="32"/>
          <w:lang w:val="el-GR"/>
        </w:rPr>
      </w:pPr>
    </w:p>
    <w:p w14:paraId="0CB56400" w14:textId="00BC18B5" w:rsidR="00276BF4" w:rsidRDefault="00D4397E" w:rsidP="00D4397E">
      <w:pPr>
        <w:spacing w:line="276" w:lineRule="auto"/>
        <w:jc w:val="both"/>
        <w:rPr>
          <w:sz w:val="20"/>
          <w:lang w:val="el-GR"/>
        </w:rPr>
      </w:pPr>
      <w:r w:rsidRPr="00D4397E">
        <w:rPr>
          <w:sz w:val="20"/>
          <w:lang w:val="el-GR"/>
        </w:rPr>
        <w:t xml:space="preserve">Ο EMA τερμάτισε την κυλιόμενη </w:t>
      </w:r>
      <w:r w:rsidR="00276BF4">
        <w:rPr>
          <w:sz w:val="20"/>
          <w:lang w:val="el-GR"/>
        </w:rPr>
        <w:t>ανασκόπηση</w:t>
      </w:r>
      <w:r w:rsidRPr="00D4397E">
        <w:rPr>
          <w:sz w:val="20"/>
          <w:lang w:val="el-GR"/>
        </w:rPr>
        <w:t xml:space="preserve"> του CVnCoV, του εμβολίου</w:t>
      </w:r>
      <w:r w:rsidR="00276BF4">
        <w:rPr>
          <w:sz w:val="20"/>
          <w:lang w:val="el-GR"/>
        </w:rPr>
        <w:t xml:space="preserve"> </w:t>
      </w:r>
      <w:r>
        <w:rPr>
          <w:sz w:val="20"/>
          <w:lang w:val="el-GR"/>
        </w:rPr>
        <w:t>της εταιρίας</w:t>
      </w:r>
      <w:r w:rsidRPr="00D4397E">
        <w:rPr>
          <w:sz w:val="20"/>
          <w:lang w:val="el-GR"/>
        </w:rPr>
        <w:t xml:space="preserve"> CureVac AG για τον COVID-19, </w:t>
      </w:r>
      <w:r w:rsidR="00276BF4">
        <w:rPr>
          <w:sz w:val="20"/>
          <w:lang w:val="el-GR"/>
        </w:rPr>
        <w:t>έπειτα από την ενημέρωση της εταιρείας προς τον Οργανισμό για την απόσυρση της από τη διαδικασία.</w:t>
      </w:r>
    </w:p>
    <w:p w14:paraId="7ED42535" w14:textId="77777777" w:rsidR="00D4397E" w:rsidRPr="00D4397E" w:rsidRDefault="00D4397E" w:rsidP="00D4397E">
      <w:pPr>
        <w:spacing w:line="276" w:lineRule="auto"/>
        <w:jc w:val="both"/>
        <w:rPr>
          <w:sz w:val="20"/>
          <w:lang w:val="el-GR"/>
        </w:rPr>
      </w:pPr>
    </w:p>
    <w:p w14:paraId="109348F0" w14:textId="21057A12" w:rsidR="00D4397E" w:rsidRDefault="00D4397E" w:rsidP="00D4397E">
      <w:pPr>
        <w:spacing w:line="276" w:lineRule="auto"/>
        <w:jc w:val="both"/>
        <w:rPr>
          <w:sz w:val="20"/>
          <w:lang w:val="el-GR"/>
        </w:rPr>
      </w:pPr>
      <w:r w:rsidRPr="00D4397E">
        <w:rPr>
          <w:sz w:val="20"/>
          <w:lang w:val="el-GR"/>
        </w:rPr>
        <w:t xml:space="preserve">Από τον Φεβρουάριο του 2021, η επιτροπή </w:t>
      </w:r>
      <w:r>
        <w:rPr>
          <w:sz w:val="20"/>
          <w:lang w:val="el-GR"/>
        </w:rPr>
        <w:t>για τα φάρμακα ανθρώπινης χρήσης</w:t>
      </w:r>
      <w:r w:rsidRPr="00D4397E">
        <w:rPr>
          <w:sz w:val="20"/>
          <w:lang w:val="el-GR"/>
        </w:rPr>
        <w:t xml:space="preserve"> (CHMP) του EMA </w:t>
      </w:r>
      <w:r w:rsidR="00276BF4">
        <w:rPr>
          <w:sz w:val="20"/>
          <w:lang w:val="el-GR"/>
        </w:rPr>
        <w:t>αξιολογεί</w:t>
      </w:r>
      <w:r w:rsidR="00276BF4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>δεδομένα σχετικά με το CVnCoV στο πλαίσιο μιας κυλιόμενης ανασκόπησης, σύμφωνα με την οποία η εταιρεία υποβάλλει δεδομένα καθώς αυτά γίνονται διαθέσιμα προκειμένου να επιταχυνθεί η αξιολόγηση μιας ενδεχόμενης αίτησης άδειας κυκλοφορίας.</w:t>
      </w:r>
    </w:p>
    <w:p w14:paraId="7D88C66A" w14:textId="77777777" w:rsidR="00D4397E" w:rsidRPr="00D4397E" w:rsidRDefault="00D4397E" w:rsidP="00D4397E">
      <w:pPr>
        <w:spacing w:line="276" w:lineRule="auto"/>
        <w:jc w:val="both"/>
        <w:rPr>
          <w:sz w:val="20"/>
          <w:lang w:val="el-GR"/>
        </w:rPr>
      </w:pPr>
    </w:p>
    <w:p w14:paraId="7D61DBBA" w14:textId="2498902C" w:rsidR="00D4397E" w:rsidRDefault="00D4397E" w:rsidP="00D4397E">
      <w:pPr>
        <w:spacing w:line="276" w:lineRule="auto"/>
        <w:jc w:val="both"/>
        <w:rPr>
          <w:sz w:val="20"/>
          <w:lang w:val="el-GR"/>
        </w:rPr>
      </w:pPr>
      <w:r w:rsidRPr="00D4397E">
        <w:rPr>
          <w:sz w:val="20"/>
          <w:lang w:val="el-GR"/>
        </w:rPr>
        <w:t>Κατά τη στιγμή της απόσυρσης της εταιρείας, ο EMA είχε λάβει μη κλινικά (εργαστηριακά) δεδομένα, δεδομένα από τρέχουσες κλινικές μελέτες, δεδομένα σχετικά με την ποιότητα και τη διαδικασία παραγωγής του εμβολίου και το σχέδιο διαχείρισης κινδύνου (RMP).</w:t>
      </w:r>
    </w:p>
    <w:p w14:paraId="0BDFA6DA" w14:textId="77777777" w:rsidR="00D4397E" w:rsidRPr="00D4397E" w:rsidRDefault="00D4397E" w:rsidP="00D4397E">
      <w:pPr>
        <w:spacing w:line="276" w:lineRule="auto"/>
        <w:jc w:val="both"/>
        <w:rPr>
          <w:sz w:val="20"/>
          <w:lang w:val="el-GR"/>
        </w:rPr>
      </w:pPr>
    </w:p>
    <w:p w14:paraId="2E3765C8" w14:textId="025D85B7" w:rsidR="00D4397E" w:rsidRDefault="00D4397E" w:rsidP="00D4397E">
      <w:pPr>
        <w:spacing w:line="276" w:lineRule="auto"/>
        <w:jc w:val="both"/>
        <w:rPr>
          <w:sz w:val="20"/>
          <w:lang w:val="el-GR"/>
        </w:rPr>
      </w:pPr>
      <w:r w:rsidRPr="00D4397E">
        <w:rPr>
          <w:sz w:val="20"/>
          <w:lang w:val="el-GR"/>
        </w:rPr>
        <w:t xml:space="preserve">Παρόλο που ο EMA επιτάχυνε την </w:t>
      </w:r>
      <w:r w:rsidR="005D7215">
        <w:rPr>
          <w:sz w:val="20"/>
          <w:lang w:val="el-GR"/>
        </w:rPr>
        <w:t>αξιολόγηση</w:t>
      </w:r>
      <w:r w:rsidR="005D7215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>των δεδομένων, ορισμέν</w:t>
      </w:r>
      <w:r w:rsidR="005D7215">
        <w:rPr>
          <w:sz w:val="20"/>
          <w:lang w:val="el-GR"/>
        </w:rPr>
        <w:t>α</w:t>
      </w:r>
      <w:r w:rsidRPr="00D4397E">
        <w:rPr>
          <w:sz w:val="20"/>
          <w:lang w:val="el-GR"/>
        </w:rPr>
        <w:t xml:space="preserve"> </w:t>
      </w:r>
      <w:r w:rsidR="005D7215">
        <w:rPr>
          <w:sz w:val="20"/>
          <w:lang w:val="el-GR"/>
        </w:rPr>
        <w:t>ερωτήματα</w:t>
      </w:r>
      <w:r w:rsidR="005D7215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 xml:space="preserve">σχετικά με την ποιότητα του εμβολίου, που </w:t>
      </w:r>
      <w:r w:rsidR="005D7215">
        <w:rPr>
          <w:sz w:val="20"/>
          <w:lang w:val="el-GR"/>
        </w:rPr>
        <w:t>επηρεάζουν</w:t>
      </w:r>
      <w:r w:rsidR="005D7215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>την ισορροπία οφέλους-κινδύνου του εμβολίου</w:t>
      </w:r>
      <w:r w:rsidR="005D7215">
        <w:rPr>
          <w:sz w:val="20"/>
          <w:lang w:val="el-GR"/>
        </w:rPr>
        <w:t>,</w:t>
      </w:r>
      <w:r w:rsidRPr="00D4397E">
        <w:rPr>
          <w:sz w:val="20"/>
          <w:lang w:val="el-GR"/>
        </w:rPr>
        <w:t xml:space="preserve"> και το γεγονός ότι τα αποτελέσματα της κύριας μελέτης έδειξαν μόνο μια μέτρια </w:t>
      </w:r>
      <w:r w:rsidRPr="00443AFE">
        <w:rPr>
          <w:sz w:val="20"/>
          <w:lang w:val="el-GR"/>
        </w:rPr>
        <w:t xml:space="preserve">αποτελεσματικότητα </w:t>
      </w:r>
      <w:r w:rsidR="005D7215" w:rsidRPr="00443AFE">
        <w:rPr>
          <w:sz w:val="20"/>
          <w:lang w:val="el-GR"/>
        </w:rPr>
        <w:t xml:space="preserve">του </w:t>
      </w:r>
      <w:r w:rsidRPr="00443AFE">
        <w:rPr>
          <w:sz w:val="20"/>
          <w:lang w:val="el-GR"/>
        </w:rPr>
        <w:t>εμβολίου σε ενήλικες</w:t>
      </w:r>
      <w:r w:rsidR="005D7215" w:rsidRPr="00443AFE">
        <w:rPr>
          <w:sz w:val="20"/>
          <w:lang w:val="el-GR"/>
        </w:rPr>
        <w:t>,</w:t>
      </w:r>
      <w:r w:rsidRPr="00443AFE">
        <w:rPr>
          <w:sz w:val="20"/>
          <w:lang w:val="el-GR"/>
        </w:rPr>
        <w:t xml:space="preserve"> </w:t>
      </w:r>
      <w:r w:rsidR="005D7215" w:rsidRPr="00443AFE">
        <w:rPr>
          <w:sz w:val="20"/>
          <w:lang w:val="el-GR"/>
        </w:rPr>
        <w:t xml:space="preserve">δεν </w:t>
      </w:r>
      <w:r w:rsidR="00DF71FE" w:rsidRPr="00443AFE">
        <w:rPr>
          <w:sz w:val="20"/>
          <w:lang w:val="el-GR"/>
        </w:rPr>
        <w:t>είχαν</w:t>
      </w:r>
      <w:r w:rsidR="005D7215" w:rsidRPr="00443AFE">
        <w:rPr>
          <w:sz w:val="20"/>
          <w:lang w:val="el-GR"/>
        </w:rPr>
        <w:t xml:space="preserve"> ακόμη ικανοποιητικά </w:t>
      </w:r>
      <w:r w:rsidR="00FC3F66" w:rsidRPr="00443AFE">
        <w:rPr>
          <w:sz w:val="20"/>
          <w:lang w:val="el-GR"/>
        </w:rPr>
        <w:t>απαντηθεί</w:t>
      </w:r>
      <w:r w:rsidR="005D7215" w:rsidRPr="00443AFE">
        <w:rPr>
          <w:sz w:val="20"/>
          <w:lang w:val="el-GR"/>
        </w:rPr>
        <w:t>.</w:t>
      </w:r>
      <w:r w:rsidR="005D7215">
        <w:rPr>
          <w:sz w:val="20"/>
          <w:lang w:val="el-GR"/>
        </w:rPr>
        <w:t xml:space="preserve"> </w:t>
      </w:r>
    </w:p>
    <w:p w14:paraId="43BAFCD1" w14:textId="77777777" w:rsidR="00D4397E" w:rsidRPr="00D4397E" w:rsidRDefault="00D4397E" w:rsidP="00D4397E">
      <w:pPr>
        <w:spacing w:line="276" w:lineRule="auto"/>
        <w:jc w:val="both"/>
        <w:rPr>
          <w:sz w:val="20"/>
          <w:lang w:val="el-GR"/>
        </w:rPr>
      </w:pPr>
    </w:p>
    <w:p w14:paraId="1E488333" w14:textId="4703254D" w:rsidR="00D4397E" w:rsidRDefault="00D4397E" w:rsidP="00D4397E">
      <w:pPr>
        <w:spacing w:line="276" w:lineRule="auto"/>
        <w:jc w:val="both"/>
        <w:rPr>
          <w:sz w:val="20"/>
          <w:lang w:val="el-GR"/>
        </w:rPr>
      </w:pPr>
      <w:r w:rsidRPr="00D4397E">
        <w:rPr>
          <w:sz w:val="20"/>
          <w:lang w:val="el-GR"/>
        </w:rPr>
        <w:t xml:space="preserve">Στην επιστολή της προς τον EMA, η εταιρεία δήλωσε ότι αποσύρθηκε επειδή αποφάσισε να </w:t>
      </w:r>
      <w:r w:rsidR="00B46580">
        <w:rPr>
          <w:sz w:val="20"/>
          <w:lang w:val="el-GR"/>
        </w:rPr>
        <w:t>εστιάσει</w:t>
      </w:r>
      <w:r w:rsidR="00B46580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 xml:space="preserve">τις προσπάθειές της σε ένα διαφορετικό πρόγραμμα ανάπτυξης εμβολίων COVID-19. Η απόσυρση σημαίνει ότι ο EMA δεν εξετάζει πλέον δεδομένα για το εμβόλιο και δεν θα ολοκληρώσει αυτήν την ανασκόπηση. Η εταιρεία διατηρεί το δικαίωμα να </w:t>
      </w:r>
      <w:r w:rsidR="00B46580">
        <w:rPr>
          <w:sz w:val="20"/>
          <w:lang w:val="el-GR"/>
        </w:rPr>
        <w:t>αιτηθεί για</w:t>
      </w:r>
      <w:r w:rsidR="00B46580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 xml:space="preserve">άλλη κυλιόμενη </w:t>
      </w:r>
      <w:r w:rsidR="00B46580">
        <w:rPr>
          <w:sz w:val="20"/>
          <w:lang w:val="el-GR"/>
        </w:rPr>
        <w:t>ανασκόπηση</w:t>
      </w:r>
      <w:r w:rsidRPr="00D4397E">
        <w:rPr>
          <w:sz w:val="20"/>
          <w:lang w:val="el-GR"/>
        </w:rPr>
        <w:t xml:space="preserve"> ή να υποβάλει αίτηση για άδεια κυκλοφορίας στο μέλλον.</w:t>
      </w:r>
    </w:p>
    <w:p w14:paraId="7FF5ACAB" w14:textId="77777777" w:rsidR="00D4397E" w:rsidRPr="00D4397E" w:rsidRDefault="00D4397E" w:rsidP="00D4397E">
      <w:pPr>
        <w:spacing w:line="276" w:lineRule="auto"/>
        <w:jc w:val="both"/>
        <w:rPr>
          <w:sz w:val="20"/>
          <w:lang w:val="el-GR"/>
        </w:rPr>
      </w:pPr>
    </w:p>
    <w:p w14:paraId="20B6DB4D" w14:textId="76E90FB8" w:rsidR="000C5E78" w:rsidRDefault="00D4397E" w:rsidP="00D4397E">
      <w:pPr>
        <w:spacing w:line="276" w:lineRule="auto"/>
        <w:jc w:val="both"/>
        <w:rPr>
          <w:sz w:val="20"/>
          <w:lang w:val="el-GR"/>
        </w:rPr>
      </w:pPr>
      <w:r w:rsidRPr="00D4397E">
        <w:rPr>
          <w:sz w:val="20"/>
          <w:lang w:val="el-GR"/>
        </w:rPr>
        <w:t xml:space="preserve">Τα άτομα που έχουν λάβει μέρος σε κλινικές δοκιμές με CVnCoV και έχουν </w:t>
      </w:r>
      <w:r w:rsidR="00B46580">
        <w:rPr>
          <w:sz w:val="20"/>
          <w:lang w:val="el-GR"/>
        </w:rPr>
        <w:t>ερωτήματα</w:t>
      </w:r>
      <w:r w:rsidR="00B46580" w:rsidRPr="00D4397E">
        <w:rPr>
          <w:sz w:val="20"/>
          <w:lang w:val="el-GR"/>
        </w:rPr>
        <w:t xml:space="preserve"> </w:t>
      </w:r>
      <w:r w:rsidRPr="00D4397E">
        <w:rPr>
          <w:sz w:val="20"/>
          <w:lang w:val="el-GR"/>
        </w:rPr>
        <w:t>σχετικά με την κατάσταση του εμβολιασμού τους, το ψηφιακό πιστοποιητικό COVID της ΕΕ ή τους ταξιδιωτικούς περιορισμούς που σχετίζονται με τον εμβολιασμό, θα πρέπει να επικοινωνήσουν με τις αρμόδιες αρχές της χώρας διαμονής τους.</w:t>
      </w:r>
    </w:p>
    <w:p w14:paraId="51D72497" w14:textId="4938D576" w:rsidR="00D4397E" w:rsidRDefault="00D4397E" w:rsidP="00D4397E">
      <w:pPr>
        <w:spacing w:line="276" w:lineRule="auto"/>
        <w:jc w:val="both"/>
        <w:rPr>
          <w:sz w:val="20"/>
          <w:lang w:val="el-GR"/>
        </w:rPr>
      </w:pPr>
    </w:p>
    <w:p w14:paraId="5618F748" w14:textId="05445884" w:rsid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 xml:space="preserve">Ο EMA θα συνεχίσει να </w:t>
      </w:r>
      <w:r w:rsidR="00B46580">
        <w:rPr>
          <w:color w:val="000000" w:themeColor="text1"/>
          <w:sz w:val="20"/>
          <w:lang w:val="el-GR"/>
        </w:rPr>
        <w:t>επισπεύδει</w:t>
      </w:r>
      <w:r w:rsidR="00B46580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την ανασκόπηση των δεδομένων για τα εμβόλια και τις θεραπείες </w:t>
      </w:r>
      <w:r w:rsidR="00752AE3">
        <w:rPr>
          <w:color w:val="000000" w:themeColor="text1"/>
          <w:sz w:val="20"/>
          <w:lang w:val="el-GR"/>
        </w:rPr>
        <w:t>για τη νόσο</w:t>
      </w:r>
      <w:r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COVID-19 κατά τη διάρκεια της </w:t>
      </w:r>
      <w:r w:rsidR="00B46580">
        <w:rPr>
          <w:color w:val="000000" w:themeColor="text1"/>
          <w:sz w:val="20"/>
          <w:lang w:val="el-GR"/>
        </w:rPr>
        <w:t>τρέχουσας</w:t>
      </w:r>
      <w:r w:rsidR="00B46580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πανδημίας. Ο EMA συνεργάζεται στενά με </w:t>
      </w:r>
      <w:r>
        <w:rPr>
          <w:color w:val="000000" w:themeColor="text1"/>
          <w:sz w:val="20"/>
          <w:lang w:val="el-GR"/>
        </w:rPr>
        <w:t>τις εταιρίες ανάπτυξης</w:t>
      </w:r>
      <w:r w:rsidRPr="00D4397E">
        <w:rPr>
          <w:color w:val="000000" w:themeColor="text1"/>
          <w:sz w:val="20"/>
          <w:lang w:val="el-GR"/>
        </w:rPr>
        <w:t xml:space="preserve">, παρέχοντας συμβουλές </w:t>
      </w:r>
      <w:r w:rsidR="000557FF">
        <w:rPr>
          <w:color w:val="000000" w:themeColor="text1"/>
          <w:sz w:val="20"/>
          <w:lang w:val="el-GR"/>
        </w:rPr>
        <w:t>νωρίς</w:t>
      </w:r>
      <w:r w:rsidRPr="00D4397E">
        <w:rPr>
          <w:color w:val="000000" w:themeColor="text1"/>
          <w:sz w:val="20"/>
          <w:lang w:val="el-GR"/>
        </w:rPr>
        <w:t xml:space="preserve"> </w:t>
      </w:r>
      <w:r w:rsidR="000557FF">
        <w:rPr>
          <w:color w:val="000000" w:themeColor="text1"/>
          <w:sz w:val="20"/>
          <w:lang w:val="el-GR"/>
        </w:rPr>
        <w:t>στη</w:t>
      </w:r>
      <w:r w:rsidR="000557FF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διαδικασία ανάπτυξη και </w:t>
      </w:r>
      <w:r w:rsidR="00B46580">
        <w:rPr>
          <w:color w:val="000000" w:themeColor="text1"/>
          <w:sz w:val="20"/>
          <w:lang w:val="el-GR"/>
        </w:rPr>
        <w:t>αξιολογώντας</w:t>
      </w:r>
      <w:r w:rsidR="00B46580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δεδομένα σ</w:t>
      </w:r>
      <w:r w:rsidR="000B48EA">
        <w:rPr>
          <w:color w:val="000000" w:themeColor="text1"/>
          <w:sz w:val="20"/>
          <w:lang w:val="el-GR"/>
        </w:rPr>
        <w:t>τη βάση</w:t>
      </w:r>
      <w:r w:rsidRPr="00D4397E">
        <w:rPr>
          <w:color w:val="000000" w:themeColor="text1"/>
          <w:sz w:val="20"/>
          <w:lang w:val="el-GR"/>
        </w:rPr>
        <w:t xml:space="preserve"> κυλιόμενη</w:t>
      </w:r>
      <w:r w:rsidR="000B48EA">
        <w:rPr>
          <w:color w:val="000000" w:themeColor="text1"/>
          <w:sz w:val="20"/>
          <w:lang w:val="el-GR"/>
        </w:rPr>
        <w:t>ς</w:t>
      </w:r>
      <w:r w:rsidRPr="00D4397E">
        <w:rPr>
          <w:color w:val="000000" w:themeColor="text1"/>
          <w:sz w:val="20"/>
          <w:lang w:val="el-GR"/>
        </w:rPr>
        <w:t xml:space="preserve"> ανασκόπηση</w:t>
      </w:r>
      <w:r w:rsidR="000B48EA">
        <w:rPr>
          <w:color w:val="000000" w:themeColor="text1"/>
          <w:sz w:val="20"/>
          <w:lang w:val="el-GR"/>
        </w:rPr>
        <w:t>ς</w:t>
      </w:r>
      <w:r w:rsidRPr="00D4397E">
        <w:rPr>
          <w:color w:val="000000" w:themeColor="text1"/>
          <w:sz w:val="20"/>
          <w:lang w:val="el-GR"/>
        </w:rPr>
        <w:t xml:space="preserve">, όταν </w:t>
      </w:r>
      <w:r w:rsidR="000B48EA">
        <w:rPr>
          <w:color w:val="000000" w:themeColor="text1"/>
          <w:sz w:val="20"/>
          <w:lang w:val="el-GR"/>
        </w:rPr>
        <w:t>αυτό κρίνεται ως κατάλληλο</w:t>
      </w:r>
      <w:r w:rsidRPr="00D4397E">
        <w:rPr>
          <w:color w:val="000000" w:themeColor="text1"/>
          <w:sz w:val="20"/>
          <w:lang w:val="el-GR"/>
        </w:rPr>
        <w:t>.</w:t>
      </w:r>
    </w:p>
    <w:p w14:paraId="53B2662D" w14:textId="3E2BDE9E" w:rsidR="00D4397E" w:rsidRPr="00443AF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16D37002" w14:textId="0A5BB6EC" w:rsidR="00D4397E" w:rsidRDefault="00D4397E" w:rsidP="00D4397E">
      <w:pPr>
        <w:spacing w:line="276" w:lineRule="auto"/>
        <w:jc w:val="both"/>
        <w:rPr>
          <w:b/>
          <w:color w:val="000000" w:themeColor="text1"/>
          <w:sz w:val="20"/>
          <w:lang w:val="el-GR"/>
        </w:rPr>
      </w:pPr>
      <w:r w:rsidRPr="00D4397E">
        <w:rPr>
          <w:b/>
          <w:color w:val="000000" w:themeColor="text1"/>
          <w:sz w:val="20"/>
          <w:lang w:val="el-GR"/>
        </w:rPr>
        <w:t>Περισσότερα για το εμβόλιο</w:t>
      </w:r>
    </w:p>
    <w:p w14:paraId="7B8524A5" w14:textId="77777777" w:rsidR="00D4397E" w:rsidRPr="00D4397E" w:rsidRDefault="00D4397E" w:rsidP="00D4397E">
      <w:pPr>
        <w:spacing w:line="276" w:lineRule="auto"/>
        <w:jc w:val="both"/>
        <w:rPr>
          <w:b/>
          <w:color w:val="000000" w:themeColor="text1"/>
          <w:sz w:val="20"/>
          <w:lang w:val="el-GR"/>
        </w:rPr>
      </w:pPr>
    </w:p>
    <w:p w14:paraId="487CB0F4" w14:textId="45DC6778" w:rsid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 xml:space="preserve">Όπως και άλλα εμβόλια, το CVnCoV αναπτύχθηκε για να προετοιμάσει το σώμα να αμυνθεί </w:t>
      </w:r>
      <w:r w:rsidR="00DF3F41">
        <w:rPr>
          <w:color w:val="000000" w:themeColor="text1"/>
          <w:sz w:val="20"/>
          <w:lang w:val="el-GR"/>
        </w:rPr>
        <w:t>κατά</w:t>
      </w:r>
      <w:r w:rsidR="00DF3F41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τη</w:t>
      </w:r>
      <w:r w:rsidR="00DF3F41">
        <w:rPr>
          <w:color w:val="000000" w:themeColor="text1"/>
          <w:sz w:val="20"/>
          <w:lang w:val="el-GR"/>
        </w:rPr>
        <w:t>ς</w:t>
      </w:r>
      <w:r w:rsidRPr="00D4397E">
        <w:rPr>
          <w:color w:val="000000" w:themeColor="text1"/>
          <w:sz w:val="20"/>
          <w:lang w:val="el-GR"/>
        </w:rPr>
        <w:t xml:space="preserve"> </w:t>
      </w:r>
      <w:r w:rsidR="00DF3F41">
        <w:rPr>
          <w:color w:val="000000" w:themeColor="text1"/>
          <w:sz w:val="20"/>
          <w:lang w:val="el-GR"/>
        </w:rPr>
        <w:t>λοίμωξης</w:t>
      </w:r>
      <w:r w:rsidR="00DF3F41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με τον SARS-CoV-2, τον ιό που προκαλεί τον COVID-19.</w:t>
      </w:r>
    </w:p>
    <w:p w14:paraId="2A2FEB53" w14:textId="77777777" w:rsidR="00D4397E" w:rsidRP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729D4B44" w14:textId="5F967ECF" w:rsidR="00D4397E" w:rsidRP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>Ο ιός SARS-CoV-2 χρησιμοποιεί πρωτεΐνες στην εξωτερική του επιφάνεια, που ονομάζονται πρωτεΐνες ακίδ</w:t>
      </w:r>
      <w:r>
        <w:rPr>
          <w:color w:val="000000" w:themeColor="text1"/>
          <w:sz w:val="20"/>
          <w:lang w:val="el-GR"/>
        </w:rPr>
        <w:t>ες</w:t>
      </w:r>
      <w:r w:rsidRPr="00D4397E">
        <w:rPr>
          <w:color w:val="000000" w:themeColor="text1"/>
          <w:sz w:val="20"/>
          <w:lang w:val="el-GR"/>
        </w:rPr>
        <w:t>, για να εισέλθει στα κύτταρα του σώματος και να προκαλέσει</w:t>
      </w:r>
      <w:r>
        <w:rPr>
          <w:color w:val="000000" w:themeColor="text1"/>
          <w:sz w:val="20"/>
          <w:lang w:val="el-GR"/>
        </w:rPr>
        <w:t xml:space="preserve"> </w:t>
      </w:r>
      <w:r w:rsidR="00DF3F41">
        <w:rPr>
          <w:color w:val="000000" w:themeColor="text1"/>
          <w:sz w:val="20"/>
          <w:lang w:val="el-GR"/>
        </w:rPr>
        <w:t xml:space="preserve">τη </w:t>
      </w:r>
      <w:r>
        <w:rPr>
          <w:color w:val="000000" w:themeColor="text1"/>
          <w:sz w:val="20"/>
          <w:lang w:val="el-GR"/>
        </w:rPr>
        <w:t>νόσο</w:t>
      </w:r>
      <w:r w:rsidRPr="00D4397E">
        <w:rPr>
          <w:color w:val="000000" w:themeColor="text1"/>
          <w:sz w:val="20"/>
          <w:lang w:val="el-GR"/>
        </w:rPr>
        <w:t xml:space="preserve"> COVID-19. Το CVnCoV περιέχει ένα μόριο που ονομάζεται αγγελιαφόρο RNA (mRNA) το οποίο έχει οδηγίες για την παραγωγή της πρωτεΐνης ακίδας. Το mRNA περιέχεται σε μικροσκοπικά σωματίδια λίπους (λιπίδια) που</w:t>
      </w:r>
      <w:r w:rsidR="00DF3F41">
        <w:rPr>
          <w:color w:val="000000" w:themeColor="text1"/>
          <w:sz w:val="20"/>
          <w:lang w:val="el-GR"/>
        </w:rPr>
        <w:t xml:space="preserve"> αποτρέπουν την πολύ γρήγορη διάσπασή του</w:t>
      </w:r>
      <w:r w:rsidR="00CE644B">
        <w:rPr>
          <w:color w:val="000000" w:themeColor="text1"/>
          <w:sz w:val="20"/>
          <w:lang w:val="el-GR"/>
        </w:rPr>
        <w:t>.</w:t>
      </w:r>
    </w:p>
    <w:p w14:paraId="175D6C9D" w14:textId="1DBCA9AF" w:rsid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>Όταν</w:t>
      </w:r>
      <w:r>
        <w:rPr>
          <w:color w:val="000000" w:themeColor="text1"/>
          <w:sz w:val="20"/>
          <w:lang w:val="el-GR"/>
        </w:rPr>
        <w:t xml:space="preserve"> σε </w:t>
      </w:r>
      <w:r w:rsidRPr="00D4397E">
        <w:rPr>
          <w:color w:val="000000" w:themeColor="text1"/>
          <w:sz w:val="20"/>
          <w:lang w:val="el-GR"/>
        </w:rPr>
        <w:t xml:space="preserve">ένα άτομο χορηγηθεί το εμβόλιο, μερικά από τα κύτταρά του θα διαβάσουν τις οδηγίες του mRNA και θα παράγουν προσωρινά την πρωτεΐνη </w:t>
      </w:r>
      <w:r>
        <w:rPr>
          <w:color w:val="000000" w:themeColor="text1"/>
          <w:sz w:val="20"/>
          <w:lang w:val="el-GR"/>
        </w:rPr>
        <w:t>ακίδα</w:t>
      </w:r>
      <w:r w:rsidRPr="00D4397E">
        <w:rPr>
          <w:color w:val="000000" w:themeColor="text1"/>
          <w:sz w:val="20"/>
          <w:lang w:val="el-GR"/>
        </w:rPr>
        <w:t>. Το ανοσοποιητικό σύστημα του ατόμου θα αναγνωρίσει τότε αυτή την πρωτεΐνη ως ξένη</w:t>
      </w:r>
      <w:r w:rsidR="00815DD0" w:rsidRPr="00815DD0">
        <w:rPr>
          <w:color w:val="000000" w:themeColor="text1"/>
          <w:sz w:val="20"/>
          <w:lang w:val="el-GR"/>
        </w:rPr>
        <w:t>,</w:t>
      </w:r>
      <w:r w:rsidRPr="00D4397E">
        <w:rPr>
          <w:color w:val="000000" w:themeColor="text1"/>
          <w:sz w:val="20"/>
          <w:lang w:val="el-GR"/>
        </w:rPr>
        <w:t xml:space="preserve"> θα παράγει αντισώματα και θα ενεργοποιήσει τα Τ κύτταρα (λευκά αιμοσφαίρια) εναντίον της.</w:t>
      </w:r>
    </w:p>
    <w:p w14:paraId="69C6721E" w14:textId="77777777" w:rsidR="00815DD0" w:rsidRPr="00D4397E" w:rsidRDefault="00815DD0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761C6EB7" w14:textId="53C16247" w:rsid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>Εάν, αργότερα, το άτομο έρθει σε επαφή με τον ιό SARS-CoV-2, το ανοσοποιητικό του σύστημα θα αναγνωρίσει την πρωτεΐνη και θα είναι έτοιμο να υπερασπιστεί το σώμα έναντι του ιού.</w:t>
      </w:r>
    </w:p>
    <w:p w14:paraId="03D1CB31" w14:textId="77777777" w:rsidR="00815DD0" w:rsidRPr="00D4397E" w:rsidRDefault="00815DD0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3BD05EB6" w14:textId="732F39AC" w:rsid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 xml:space="preserve">Το mRNA από το εμβόλιο δεν παραμένει στο σώμα αλλά διασπάται </w:t>
      </w:r>
      <w:r w:rsidR="000557FF">
        <w:rPr>
          <w:color w:val="000000" w:themeColor="text1"/>
          <w:sz w:val="20"/>
          <w:lang w:val="el-GR"/>
        </w:rPr>
        <w:t>σύντομα</w:t>
      </w:r>
      <w:r w:rsidR="000557FF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μετά</w:t>
      </w:r>
      <w:r w:rsidR="00CE644B">
        <w:rPr>
          <w:color w:val="000000" w:themeColor="text1"/>
          <w:sz w:val="20"/>
          <w:lang w:val="el-GR"/>
        </w:rPr>
        <w:t xml:space="preserve"> από</w:t>
      </w:r>
      <w:r w:rsidRPr="00D4397E">
        <w:rPr>
          <w:color w:val="000000" w:themeColor="text1"/>
          <w:sz w:val="20"/>
          <w:lang w:val="el-GR"/>
        </w:rPr>
        <w:t xml:space="preserve"> τον εμβολιασμό.</w:t>
      </w:r>
    </w:p>
    <w:p w14:paraId="5A5326BE" w14:textId="77777777" w:rsidR="00815DD0" w:rsidRPr="00443AFE" w:rsidRDefault="00815DD0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43CE4C40" w14:textId="1FB97AD3" w:rsidR="00D4397E" w:rsidRPr="00815DD0" w:rsidRDefault="00D4397E" w:rsidP="00D4397E">
      <w:pPr>
        <w:spacing w:line="276" w:lineRule="auto"/>
        <w:jc w:val="both"/>
        <w:rPr>
          <w:b/>
          <w:color w:val="000000" w:themeColor="text1"/>
          <w:sz w:val="20"/>
          <w:lang w:val="el-GR"/>
        </w:rPr>
      </w:pPr>
      <w:r w:rsidRPr="00815DD0">
        <w:rPr>
          <w:b/>
          <w:color w:val="000000" w:themeColor="text1"/>
          <w:sz w:val="20"/>
          <w:lang w:val="el-GR"/>
        </w:rPr>
        <w:t>Περισσότερα σχετικά με τις κυλιόμενες κριτικές</w:t>
      </w:r>
    </w:p>
    <w:p w14:paraId="29A9A794" w14:textId="77777777" w:rsidR="00815DD0" w:rsidRPr="00D4397E" w:rsidRDefault="00815DD0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5C500ED0" w14:textId="73F2B0D6" w:rsidR="00D4397E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 xml:space="preserve">Η κυλιόμενη </w:t>
      </w:r>
      <w:r w:rsidR="00CE644B">
        <w:rPr>
          <w:color w:val="000000" w:themeColor="text1"/>
          <w:sz w:val="20"/>
          <w:lang w:val="el-GR"/>
        </w:rPr>
        <w:t>ανασκόπηση</w:t>
      </w:r>
      <w:r w:rsidRPr="00D4397E">
        <w:rPr>
          <w:color w:val="000000" w:themeColor="text1"/>
          <w:sz w:val="20"/>
          <w:lang w:val="el-GR"/>
        </w:rPr>
        <w:t xml:space="preserve"> είναι ένα ρυθμιστικό εργαλείο που χρησιμοποιεί ο EMA για να επιταχύνει την αξιολόγηση ενός </w:t>
      </w:r>
      <w:r w:rsidR="00CE644B">
        <w:rPr>
          <w:color w:val="000000" w:themeColor="text1"/>
          <w:sz w:val="20"/>
          <w:lang w:val="el-GR"/>
        </w:rPr>
        <w:t>πολύ</w:t>
      </w:r>
      <w:r w:rsidR="00CE644B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υποσχόμενου φαρμάκου ή εμβολίου κατά τη διάρκεια έκτακτης ανάγκης δημόσιας υγείας, όπως η πανδημία COVID-19. </w:t>
      </w:r>
      <w:r w:rsidR="001A6943">
        <w:rPr>
          <w:color w:val="000000" w:themeColor="text1"/>
          <w:sz w:val="20"/>
          <w:lang w:val="el-GR"/>
        </w:rPr>
        <w:t>Συνήθως</w:t>
      </w:r>
      <w:r w:rsidRPr="00D4397E">
        <w:rPr>
          <w:color w:val="000000" w:themeColor="text1"/>
          <w:sz w:val="20"/>
          <w:lang w:val="el-GR"/>
        </w:rPr>
        <w:t>, όλα τα δεδομένα σχετικά με την αποτελεσματικότητα, την ασφάλεια και την ποιότητα ενός φαρμάκου ή εμβολίου και όλα τα απαιτούμενα έγγραφα πρέπει να είναι έτοιμα κατά την έναρξη της αξιολόγησης</w:t>
      </w:r>
      <w:r w:rsidR="00615E87">
        <w:rPr>
          <w:color w:val="000000" w:themeColor="text1"/>
          <w:sz w:val="20"/>
          <w:lang w:val="el-GR"/>
        </w:rPr>
        <w:t>,</w:t>
      </w:r>
      <w:r w:rsidRPr="00D4397E">
        <w:rPr>
          <w:color w:val="000000" w:themeColor="text1"/>
          <w:sz w:val="20"/>
          <w:lang w:val="el-GR"/>
        </w:rPr>
        <w:t xml:space="preserve"> σε </w:t>
      </w:r>
      <w:r w:rsidR="00CE644B">
        <w:rPr>
          <w:color w:val="000000" w:themeColor="text1"/>
          <w:sz w:val="20"/>
          <w:lang w:val="el-GR"/>
        </w:rPr>
        <w:t>μία</w:t>
      </w:r>
      <w:r w:rsidR="001A6943" w:rsidRPr="00443AF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επίσημη αίτηση για άδεια κυκλοφορίας. Σ</w:t>
      </w:r>
      <w:r w:rsidR="00CE644B">
        <w:rPr>
          <w:color w:val="000000" w:themeColor="text1"/>
          <w:sz w:val="20"/>
          <w:lang w:val="el-GR"/>
        </w:rPr>
        <w:t>την</w:t>
      </w:r>
      <w:r w:rsidRPr="00D4397E">
        <w:rPr>
          <w:color w:val="000000" w:themeColor="text1"/>
          <w:sz w:val="20"/>
          <w:lang w:val="el-GR"/>
        </w:rPr>
        <w:t xml:space="preserve"> περίπτωση </w:t>
      </w:r>
      <w:r w:rsidR="00CE644B">
        <w:rPr>
          <w:color w:val="000000" w:themeColor="text1"/>
          <w:sz w:val="20"/>
          <w:lang w:val="el-GR"/>
        </w:rPr>
        <w:t xml:space="preserve">της </w:t>
      </w:r>
      <w:r w:rsidRPr="00D4397E">
        <w:rPr>
          <w:color w:val="000000" w:themeColor="text1"/>
          <w:sz w:val="20"/>
          <w:lang w:val="el-GR"/>
        </w:rPr>
        <w:t xml:space="preserve">κυλιόμενης </w:t>
      </w:r>
      <w:r w:rsidR="00CE644B">
        <w:rPr>
          <w:color w:val="000000" w:themeColor="text1"/>
          <w:sz w:val="20"/>
          <w:lang w:val="el-GR"/>
        </w:rPr>
        <w:t>ανασκόπησης</w:t>
      </w:r>
      <w:r w:rsidRPr="00D4397E">
        <w:rPr>
          <w:color w:val="000000" w:themeColor="text1"/>
          <w:sz w:val="20"/>
          <w:lang w:val="el-GR"/>
        </w:rPr>
        <w:t xml:space="preserve">, η CHMP </w:t>
      </w:r>
      <w:r w:rsidR="00CE644B">
        <w:rPr>
          <w:color w:val="000000" w:themeColor="text1"/>
          <w:sz w:val="20"/>
          <w:lang w:val="el-GR"/>
        </w:rPr>
        <w:t>αξιολογεί</w:t>
      </w:r>
      <w:r w:rsidR="00CE644B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τα δεδομένα καθώς αυτά καθίστανται διαθέσιμα από τρέχουσες μελέτες. Τα δεδομένα αξιολογούνται κατά τους λεγόμενους «κυλιόμενους κύκλους </w:t>
      </w:r>
      <w:r w:rsidR="00CE644B">
        <w:rPr>
          <w:color w:val="000000" w:themeColor="text1"/>
          <w:sz w:val="20"/>
          <w:lang w:val="el-GR"/>
        </w:rPr>
        <w:t>αξιολόγησης</w:t>
      </w:r>
      <w:r w:rsidRPr="00D4397E">
        <w:rPr>
          <w:color w:val="000000" w:themeColor="text1"/>
          <w:sz w:val="20"/>
          <w:lang w:val="el-GR"/>
        </w:rPr>
        <w:t xml:space="preserve">»-δεν υπάρχει προκαθορισμένος αριθμός κύκλων, καθώς η διαδικασία </w:t>
      </w:r>
      <w:r w:rsidR="00CE644B">
        <w:rPr>
          <w:color w:val="000000" w:themeColor="text1"/>
          <w:sz w:val="20"/>
          <w:lang w:val="el-GR"/>
        </w:rPr>
        <w:t>εξελίσσεται σύμφωνα με τη διαθεσιμότητα των δεδομένων.</w:t>
      </w:r>
      <w:r w:rsidR="00CE644B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 xml:space="preserve">Μόλις η CHMP αποφασίσει ότι υπάρχουν επαρκή δεδομένα, η εταιρεία μπορεί να υποβάλει επίσημη αίτηση για άδεια κυκλοφορίας. Με την </w:t>
      </w:r>
      <w:r w:rsidR="00CE644B">
        <w:rPr>
          <w:color w:val="000000" w:themeColor="text1"/>
          <w:sz w:val="20"/>
          <w:lang w:val="el-GR"/>
        </w:rPr>
        <w:t>αξιολόγηση</w:t>
      </w:r>
      <w:r w:rsidR="00CE644B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των δεδομένων καθώς αυτά γίνονται διαθέσιμα, η CHMP μπορεί να γνωμοδοτήσει σχετικά με την άδεια του φαρμάκου</w:t>
      </w:r>
      <w:r w:rsidR="00615E87" w:rsidRPr="00A94F0B">
        <w:rPr>
          <w:color w:val="000000" w:themeColor="text1"/>
          <w:sz w:val="20"/>
          <w:lang w:val="el-GR"/>
        </w:rPr>
        <w:t xml:space="preserve"> </w:t>
      </w:r>
      <w:r w:rsidR="00615E87">
        <w:rPr>
          <w:color w:val="000000" w:themeColor="text1"/>
          <w:sz w:val="20"/>
          <w:lang w:val="el-GR"/>
        </w:rPr>
        <w:t>γρηγορότερα</w:t>
      </w:r>
      <w:r w:rsidRPr="00D4397E">
        <w:rPr>
          <w:color w:val="000000" w:themeColor="text1"/>
          <w:sz w:val="20"/>
          <w:lang w:val="el-GR"/>
        </w:rPr>
        <w:t>.</w:t>
      </w:r>
    </w:p>
    <w:p w14:paraId="7B9EF015" w14:textId="77777777" w:rsidR="00815DD0" w:rsidRPr="00D4397E" w:rsidRDefault="00815DD0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</w:p>
    <w:p w14:paraId="2461EDC1" w14:textId="33660716" w:rsidR="00D4397E" w:rsidRPr="000C5E78" w:rsidRDefault="00D4397E" w:rsidP="00D4397E">
      <w:pPr>
        <w:spacing w:line="276" w:lineRule="auto"/>
        <w:jc w:val="both"/>
        <w:rPr>
          <w:color w:val="000000" w:themeColor="text1"/>
          <w:sz w:val="20"/>
          <w:lang w:val="el-GR"/>
        </w:rPr>
      </w:pPr>
      <w:r w:rsidRPr="00D4397E">
        <w:rPr>
          <w:color w:val="000000" w:themeColor="text1"/>
          <w:sz w:val="20"/>
          <w:lang w:val="el-GR"/>
        </w:rPr>
        <w:t>Καθ 'όλη τη διάρκεια της πανδημίας, ο EMA και οι επιστημονικές του επιτροπές υποστηρίζονται από την</w:t>
      </w:r>
      <w:r w:rsidR="00CE644B" w:rsidRPr="00443AFE">
        <w:rPr>
          <w:color w:val="000000" w:themeColor="text1"/>
          <w:sz w:val="20"/>
          <w:lang w:val="el-GR"/>
        </w:rPr>
        <w:t xml:space="preserve"> </w:t>
      </w:r>
      <w:r w:rsidR="00CE644B">
        <w:rPr>
          <w:color w:val="000000" w:themeColor="text1"/>
          <w:sz w:val="20"/>
          <w:lang w:val="el-GR"/>
        </w:rPr>
        <w:t>ειδική</w:t>
      </w:r>
      <w:r w:rsidRPr="00D4397E">
        <w:rPr>
          <w:color w:val="000000" w:themeColor="text1"/>
          <w:sz w:val="20"/>
          <w:lang w:val="el-GR"/>
        </w:rPr>
        <w:t xml:space="preserve"> ομάδα πανδημίας του COVID-19 EMA (COVID-ETF). Αυτή η ομάδα συγκεντρώνει εμπειρογνώμονες από όλο το ευρωπαϊκό ρυθμιστικό δίκτυο φαρμάκων για να συμβουλεύσουν </w:t>
      </w:r>
      <w:r w:rsidR="00CE644B">
        <w:rPr>
          <w:color w:val="000000" w:themeColor="text1"/>
          <w:sz w:val="20"/>
          <w:lang w:val="el-GR"/>
        </w:rPr>
        <w:t xml:space="preserve">για </w:t>
      </w:r>
      <w:r w:rsidRPr="00D4397E">
        <w:rPr>
          <w:color w:val="000000" w:themeColor="text1"/>
          <w:sz w:val="20"/>
          <w:lang w:val="el-GR"/>
        </w:rPr>
        <w:t xml:space="preserve">την ανάπτυξη, την </w:t>
      </w:r>
      <w:r w:rsidR="00CE644B">
        <w:rPr>
          <w:color w:val="000000" w:themeColor="text1"/>
          <w:sz w:val="20"/>
          <w:lang w:val="el-GR"/>
        </w:rPr>
        <w:t>αδειοδότηση</w:t>
      </w:r>
      <w:r w:rsidR="00CE644B" w:rsidRPr="00D4397E">
        <w:rPr>
          <w:color w:val="000000" w:themeColor="text1"/>
          <w:sz w:val="20"/>
          <w:lang w:val="el-GR"/>
        </w:rPr>
        <w:t xml:space="preserve"> </w:t>
      </w:r>
      <w:r w:rsidRPr="00D4397E">
        <w:rPr>
          <w:color w:val="000000" w:themeColor="text1"/>
          <w:sz w:val="20"/>
          <w:lang w:val="el-GR"/>
        </w:rPr>
        <w:t>και την παρακολούθηση της ασφάλειας</w:t>
      </w:r>
      <w:r w:rsidR="00CE644B">
        <w:rPr>
          <w:color w:val="000000" w:themeColor="text1"/>
          <w:sz w:val="20"/>
          <w:lang w:val="el-GR"/>
        </w:rPr>
        <w:t xml:space="preserve"> των</w:t>
      </w:r>
      <w:r w:rsidRPr="00D4397E">
        <w:rPr>
          <w:color w:val="000000" w:themeColor="text1"/>
          <w:sz w:val="20"/>
          <w:lang w:val="el-GR"/>
        </w:rPr>
        <w:t xml:space="preserve"> φαρμάκων και </w:t>
      </w:r>
      <w:r w:rsidR="00CE644B">
        <w:rPr>
          <w:color w:val="000000" w:themeColor="text1"/>
          <w:sz w:val="20"/>
          <w:lang w:val="el-GR"/>
        </w:rPr>
        <w:t xml:space="preserve">των </w:t>
      </w:r>
      <w:r w:rsidRPr="00D4397E">
        <w:rPr>
          <w:color w:val="000000" w:themeColor="text1"/>
          <w:sz w:val="20"/>
          <w:lang w:val="el-GR"/>
        </w:rPr>
        <w:t>εμβολίων για τον COVID-19 και να διευκολύνουν τη γρήγορη και συντονισμένη ρυθμιστική δράση.</w:t>
      </w:r>
    </w:p>
    <w:sectPr w:rsidR="00D4397E" w:rsidRPr="000C5E78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362FB" w16cid:durableId="25114D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6FA25" w14:textId="77777777" w:rsidR="00FC04A2" w:rsidRDefault="00FC04A2" w:rsidP="00C9486E">
      <w:r>
        <w:separator/>
      </w:r>
    </w:p>
  </w:endnote>
  <w:endnote w:type="continuationSeparator" w:id="0">
    <w:p w14:paraId="57593230" w14:textId="77777777" w:rsidR="00FC04A2" w:rsidRDefault="00FC04A2" w:rsidP="00C9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47093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AA6CB" w14:textId="77777777" w:rsidR="00C9486E" w:rsidRDefault="00C9486E" w:rsidP="002433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BDB886" w14:textId="77777777" w:rsidR="00C9486E" w:rsidRDefault="00C9486E" w:rsidP="00C94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2678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717BE" w14:textId="543405E5" w:rsidR="00C9486E" w:rsidRPr="00E25064" w:rsidRDefault="00C9486E" w:rsidP="002433C9">
        <w:pPr>
          <w:pStyle w:val="Footer"/>
          <w:framePr w:wrap="none" w:vAnchor="text" w:hAnchor="margin" w:xAlign="right" w:y="1"/>
          <w:rPr>
            <w:rStyle w:val="PageNumber"/>
            <w:lang w:val="el-GR"/>
          </w:rPr>
        </w:pPr>
        <w:r>
          <w:rPr>
            <w:rStyle w:val="PageNumber"/>
          </w:rPr>
          <w:fldChar w:fldCharType="begin"/>
        </w:r>
        <w:r w:rsidRPr="00E25064">
          <w:rPr>
            <w:rStyle w:val="PageNumber"/>
            <w:lang w:val="el-GR"/>
          </w:rPr>
          <w:instrText xml:space="preserve"> </w:instrText>
        </w:r>
        <w:r>
          <w:rPr>
            <w:rStyle w:val="PageNumber"/>
          </w:rPr>
          <w:instrText>PAGE</w:instrText>
        </w:r>
        <w:r w:rsidRPr="00E25064">
          <w:rPr>
            <w:rStyle w:val="PageNumber"/>
            <w:lang w:val="el-GR"/>
          </w:rPr>
          <w:instrText xml:space="preserve"> </w:instrText>
        </w:r>
        <w:r>
          <w:rPr>
            <w:rStyle w:val="PageNumber"/>
          </w:rPr>
          <w:fldChar w:fldCharType="separate"/>
        </w:r>
        <w:r w:rsidR="00A94F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C6C17E" w14:textId="77777777" w:rsidR="00C9486E" w:rsidRPr="00E25064" w:rsidRDefault="00C9486E" w:rsidP="00C9486E">
    <w:pPr>
      <w:pStyle w:val="Footer"/>
      <w:ind w:right="360"/>
      <w:rPr>
        <w:sz w:val="14"/>
        <w:szCs w:val="14"/>
        <w:lang w:val="el-GR"/>
      </w:rPr>
    </w:pPr>
  </w:p>
  <w:p w14:paraId="21F9E713" w14:textId="77777777" w:rsidR="00C9486E" w:rsidRPr="000C5E78" w:rsidRDefault="00C9486E" w:rsidP="00C9486E">
    <w:pPr>
      <w:pStyle w:val="Footer"/>
      <w:ind w:right="360"/>
      <w:rPr>
        <w:sz w:val="12"/>
        <w:szCs w:val="12"/>
        <w:lang w:val="el-GR"/>
      </w:rPr>
    </w:pPr>
  </w:p>
  <w:p w14:paraId="3EA050F7" w14:textId="605ABE61" w:rsidR="00815DD0" w:rsidRPr="00815DD0" w:rsidRDefault="00815DD0" w:rsidP="00815DD0">
    <w:pPr>
      <w:jc w:val="both"/>
      <w:rPr>
        <w:color w:val="365F91" w:themeColor="accent1" w:themeShade="BF"/>
        <w:sz w:val="12"/>
        <w:szCs w:val="12"/>
        <w:lang w:val="el-GR"/>
      </w:rPr>
    </w:pPr>
    <w:r w:rsidRPr="00815DD0">
      <w:rPr>
        <w:color w:val="365F91" w:themeColor="accent1" w:themeShade="BF"/>
        <w:sz w:val="12"/>
        <w:szCs w:val="12"/>
        <w:lang w:val="el-GR"/>
      </w:rPr>
      <w:t xml:space="preserve">Ο EMA τερματίζει την κυλιόμενη </w:t>
    </w:r>
    <w:r w:rsidR="00506983" w:rsidRPr="00815DD0">
      <w:rPr>
        <w:color w:val="365F91" w:themeColor="accent1" w:themeShade="BF"/>
        <w:sz w:val="12"/>
        <w:szCs w:val="12"/>
        <w:lang w:val="el-GR"/>
      </w:rPr>
      <w:t>ανασκόπηση</w:t>
    </w:r>
    <w:r w:rsidRPr="00815DD0">
      <w:rPr>
        <w:color w:val="365F91" w:themeColor="accent1" w:themeShade="BF"/>
        <w:sz w:val="12"/>
        <w:szCs w:val="12"/>
        <w:lang w:val="el-GR"/>
      </w:rPr>
      <w:t xml:space="preserve"> του εμβολίου CVnCoV COVID-19 μετά την απόσυρση από την εταιρία CureVac AG</w:t>
    </w:r>
  </w:p>
  <w:p w14:paraId="798B3B4B" w14:textId="77777777" w:rsidR="00C9486E" w:rsidRPr="005210C6" w:rsidRDefault="00C9486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3A80" w14:textId="77777777" w:rsidR="00FC04A2" w:rsidRDefault="00FC04A2" w:rsidP="00C9486E">
      <w:r>
        <w:separator/>
      </w:r>
    </w:p>
  </w:footnote>
  <w:footnote w:type="continuationSeparator" w:id="0">
    <w:p w14:paraId="240B4535" w14:textId="77777777" w:rsidR="00FC04A2" w:rsidRDefault="00FC04A2" w:rsidP="00C9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6A8"/>
    <w:multiLevelType w:val="multilevel"/>
    <w:tmpl w:val="A02E932A"/>
    <w:numStyleLink w:val="BulletsAgency"/>
  </w:abstractNum>
  <w:abstractNum w:abstractNumId="1" w15:restartNumberingAfterBreak="0">
    <w:nsid w:val="048B0115"/>
    <w:multiLevelType w:val="hybridMultilevel"/>
    <w:tmpl w:val="65D4F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1B7461D1"/>
    <w:multiLevelType w:val="hybridMultilevel"/>
    <w:tmpl w:val="ED8A7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5FBF"/>
    <w:multiLevelType w:val="hybridMultilevel"/>
    <w:tmpl w:val="E174E0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A397C"/>
    <w:multiLevelType w:val="multilevel"/>
    <w:tmpl w:val="A02E932A"/>
    <w:numStyleLink w:val="BulletsAgency"/>
  </w:abstractNum>
  <w:abstractNum w:abstractNumId="6" w15:restartNumberingAfterBreak="0">
    <w:nsid w:val="73F25408"/>
    <w:multiLevelType w:val="multilevel"/>
    <w:tmpl w:val="A02E932A"/>
    <w:numStyleLink w:val="BulletsAgency"/>
  </w:abstractNum>
  <w:abstractNum w:abstractNumId="7" w15:restartNumberingAfterBreak="0">
    <w:nsid w:val="7EF00DC1"/>
    <w:multiLevelType w:val="hybridMultilevel"/>
    <w:tmpl w:val="B27CDC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4"/>
    <w:rsid w:val="00004F4D"/>
    <w:rsid w:val="00006123"/>
    <w:rsid w:val="000262B3"/>
    <w:rsid w:val="00035971"/>
    <w:rsid w:val="00044D9E"/>
    <w:rsid w:val="000557FF"/>
    <w:rsid w:val="00074387"/>
    <w:rsid w:val="0008588C"/>
    <w:rsid w:val="000A1F48"/>
    <w:rsid w:val="000B3549"/>
    <w:rsid w:val="000B38AD"/>
    <w:rsid w:val="000B48EA"/>
    <w:rsid w:val="000C5E78"/>
    <w:rsid w:val="000E1139"/>
    <w:rsid w:val="00104129"/>
    <w:rsid w:val="00107358"/>
    <w:rsid w:val="00121B3D"/>
    <w:rsid w:val="0013660F"/>
    <w:rsid w:val="00153056"/>
    <w:rsid w:val="00155C77"/>
    <w:rsid w:val="001648F6"/>
    <w:rsid w:val="001A6943"/>
    <w:rsid w:val="001B6090"/>
    <w:rsid w:val="001B640A"/>
    <w:rsid w:val="001E052B"/>
    <w:rsid w:val="001E2A1C"/>
    <w:rsid w:val="00210A31"/>
    <w:rsid w:val="00215687"/>
    <w:rsid w:val="00242CE0"/>
    <w:rsid w:val="00276BF4"/>
    <w:rsid w:val="002B5A91"/>
    <w:rsid w:val="00323834"/>
    <w:rsid w:val="003238B6"/>
    <w:rsid w:val="00384C39"/>
    <w:rsid w:val="00394A97"/>
    <w:rsid w:val="003A1AE0"/>
    <w:rsid w:val="003C0EB9"/>
    <w:rsid w:val="003C5F72"/>
    <w:rsid w:val="003F22F9"/>
    <w:rsid w:val="00407A86"/>
    <w:rsid w:val="004162A3"/>
    <w:rsid w:val="004275FF"/>
    <w:rsid w:val="00432841"/>
    <w:rsid w:val="00435545"/>
    <w:rsid w:val="00443AFE"/>
    <w:rsid w:val="00447CB5"/>
    <w:rsid w:val="00457DB3"/>
    <w:rsid w:val="00476D6F"/>
    <w:rsid w:val="00485A41"/>
    <w:rsid w:val="00496752"/>
    <w:rsid w:val="004D1BF6"/>
    <w:rsid w:val="004D6302"/>
    <w:rsid w:val="004F488B"/>
    <w:rsid w:val="00506983"/>
    <w:rsid w:val="005210C6"/>
    <w:rsid w:val="005306D9"/>
    <w:rsid w:val="00580BB7"/>
    <w:rsid w:val="00581D72"/>
    <w:rsid w:val="005D7215"/>
    <w:rsid w:val="005E2ECE"/>
    <w:rsid w:val="00611D79"/>
    <w:rsid w:val="006135E9"/>
    <w:rsid w:val="00615E87"/>
    <w:rsid w:val="006160C3"/>
    <w:rsid w:val="00631D27"/>
    <w:rsid w:val="0069327A"/>
    <w:rsid w:val="006A236E"/>
    <w:rsid w:val="006F29F0"/>
    <w:rsid w:val="006F7546"/>
    <w:rsid w:val="006F79F0"/>
    <w:rsid w:val="007325F6"/>
    <w:rsid w:val="00735ADE"/>
    <w:rsid w:val="00745138"/>
    <w:rsid w:val="007451BA"/>
    <w:rsid w:val="00752AE3"/>
    <w:rsid w:val="007627F9"/>
    <w:rsid w:val="007F4DF5"/>
    <w:rsid w:val="00807EFD"/>
    <w:rsid w:val="00815DD0"/>
    <w:rsid w:val="00881867"/>
    <w:rsid w:val="00896445"/>
    <w:rsid w:val="00896A14"/>
    <w:rsid w:val="008C2B7C"/>
    <w:rsid w:val="008D5809"/>
    <w:rsid w:val="008E1F5F"/>
    <w:rsid w:val="00900A7D"/>
    <w:rsid w:val="00923F38"/>
    <w:rsid w:val="00945579"/>
    <w:rsid w:val="00946496"/>
    <w:rsid w:val="00950D9D"/>
    <w:rsid w:val="00982899"/>
    <w:rsid w:val="009C076B"/>
    <w:rsid w:val="009C6413"/>
    <w:rsid w:val="009E5CFE"/>
    <w:rsid w:val="009F746B"/>
    <w:rsid w:val="009F7D89"/>
    <w:rsid w:val="00A01EFA"/>
    <w:rsid w:val="00A02859"/>
    <w:rsid w:val="00A3740F"/>
    <w:rsid w:val="00A519D3"/>
    <w:rsid w:val="00A5467C"/>
    <w:rsid w:val="00A67D9B"/>
    <w:rsid w:val="00A774F4"/>
    <w:rsid w:val="00A82D15"/>
    <w:rsid w:val="00A84B3D"/>
    <w:rsid w:val="00A84D0D"/>
    <w:rsid w:val="00A91C2B"/>
    <w:rsid w:val="00A94F0B"/>
    <w:rsid w:val="00AA224C"/>
    <w:rsid w:val="00AB41AF"/>
    <w:rsid w:val="00AC0EE4"/>
    <w:rsid w:val="00AD5208"/>
    <w:rsid w:val="00AD73FC"/>
    <w:rsid w:val="00AE748F"/>
    <w:rsid w:val="00AF76DD"/>
    <w:rsid w:val="00B0782A"/>
    <w:rsid w:val="00B30D57"/>
    <w:rsid w:val="00B32186"/>
    <w:rsid w:val="00B46580"/>
    <w:rsid w:val="00B70558"/>
    <w:rsid w:val="00BA343B"/>
    <w:rsid w:val="00BA3545"/>
    <w:rsid w:val="00BD44D6"/>
    <w:rsid w:val="00BF2999"/>
    <w:rsid w:val="00BF4DF8"/>
    <w:rsid w:val="00BF75E2"/>
    <w:rsid w:val="00BF7A10"/>
    <w:rsid w:val="00C304D1"/>
    <w:rsid w:val="00C537FC"/>
    <w:rsid w:val="00C76D31"/>
    <w:rsid w:val="00C87D1B"/>
    <w:rsid w:val="00C9486E"/>
    <w:rsid w:val="00CA2B16"/>
    <w:rsid w:val="00CC1E01"/>
    <w:rsid w:val="00CE2672"/>
    <w:rsid w:val="00CE644B"/>
    <w:rsid w:val="00D041FB"/>
    <w:rsid w:val="00D06E3F"/>
    <w:rsid w:val="00D17B2B"/>
    <w:rsid w:val="00D23046"/>
    <w:rsid w:val="00D438E7"/>
    <w:rsid w:val="00D4397E"/>
    <w:rsid w:val="00D541CB"/>
    <w:rsid w:val="00D84E36"/>
    <w:rsid w:val="00DA5A84"/>
    <w:rsid w:val="00DB6A0F"/>
    <w:rsid w:val="00DD58A4"/>
    <w:rsid w:val="00DD6B6A"/>
    <w:rsid w:val="00DE2316"/>
    <w:rsid w:val="00DF3F41"/>
    <w:rsid w:val="00DF71FE"/>
    <w:rsid w:val="00E13AF4"/>
    <w:rsid w:val="00E25064"/>
    <w:rsid w:val="00E64972"/>
    <w:rsid w:val="00E96DC7"/>
    <w:rsid w:val="00EC0E5B"/>
    <w:rsid w:val="00F15753"/>
    <w:rsid w:val="00F31A03"/>
    <w:rsid w:val="00F335A4"/>
    <w:rsid w:val="00F33702"/>
    <w:rsid w:val="00F43A4D"/>
    <w:rsid w:val="00F508CE"/>
    <w:rsid w:val="00F607AE"/>
    <w:rsid w:val="00F6781F"/>
    <w:rsid w:val="00F820AE"/>
    <w:rsid w:val="00F90830"/>
    <w:rsid w:val="00FA1765"/>
    <w:rsid w:val="00FA3FC8"/>
    <w:rsid w:val="00FB04F4"/>
    <w:rsid w:val="00FC04A2"/>
    <w:rsid w:val="00FC3F66"/>
    <w:rsid w:val="00FD48C7"/>
    <w:rsid w:val="00FE1B04"/>
    <w:rsid w:val="00FE3B5E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4130E"/>
  <w15:docId w15:val="{9B1391A5-CD8B-2D4B-B7D0-AFEC5A1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F4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F4"/>
    <w:rPr>
      <w:rFonts w:ascii="Tahoma" w:eastAsia="Times New Roman" w:hAnsi="Tahoma" w:cs="Tahoma"/>
      <w:sz w:val="16"/>
      <w:szCs w:val="16"/>
      <w:lang w:eastAsia="fr-LU"/>
    </w:rPr>
  </w:style>
  <w:style w:type="numbering" w:customStyle="1" w:styleId="BulletsAgency">
    <w:name w:val="Bullets (Agency)"/>
    <w:basedOn w:val="NoList"/>
    <w:rsid w:val="00A774F4"/>
    <w:pPr>
      <w:numPr>
        <w:numId w:val="1"/>
      </w:numPr>
    </w:pPr>
  </w:style>
  <w:style w:type="table" w:styleId="TableGrid">
    <w:name w:val="Table Grid"/>
    <w:basedOn w:val="TableNormal"/>
    <w:uiPriority w:val="59"/>
    <w:rsid w:val="00A7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Agency">
    <w:name w:val="Ref. (Agency)"/>
    <w:basedOn w:val="Normal"/>
    <w:rsid w:val="00C9486E"/>
    <w:rPr>
      <w:sz w:val="17"/>
    </w:rPr>
  </w:style>
  <w:style w:type="paragraph" w:styleId="ListParagraph">
    <w:name w:val="List Paragraph"/>
    <w:basedOn w:val="Normal"/>
    <w:uiPriority w:val="34"/>
    <w:qFormat/>
    <w:rsid w:val="00C9486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l-GR" w:eastAsia="en-US"/>
    </w:rPr>
  </w:style>
  <w:style w:type="paragraph" w:styleId="Header">
    <w:name w:val="header"/>
    <w:basedOn w:val="Normal"/>
    <w:link w:val="HeaderChar"/>
    <w:uiPriority w:val="99"/>
    <w:unhideWhenUsed/>
    <w:rsid w:val="00C948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6E"/>
    <w:rPr>
      <w:rFonts w:ascii="Verdana" w:eastAsia="Times New Roman" w:hAnsi="Verdana" w:cs="Times New Roman"/>
      <w:sz w:val="18"/>
      <w:szCs w:val="20"/>
      <w:lang w:eastAsia="fr-LU"/>
    </w:rPr>
  </w:style>
  <w:style w:type="paragraph" w:styleId="Footer">
    <w:name w:val="footer"/>
    <w:basedOn w:val="Normal"/>
    <w:link w:val="FooterChar"/>
    <w:uiPriority w:val="99"/>
    <w:unhideWhenUsed/>
    <w:rsid w:val="00C94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6E"/>
    <w:rPr>
      <w:rFonts w:ascii="Verdana" w:eastAsia="Times New Roman" w:hAnsi="Verdana" w:cs="Times New Roman"/>
      <w:sz w:val="18"/>
      <w:szCs w:val="20"/>
      <w:lang w:eastAsia="fr-LU"/>
    </w:rPr>
  </w:style>
  <w:style w:type="character" w:styleId="PageNumber">
    <w:name w:val="page number"/>
    <w:basedOn w:val="DefaultParagraphFont"/>
    <w:uiPriority w:val="99"/>
    <w:semiHidden/>
    <w:unhideWhenUsed/>
    <w:rsid w:val="00C9486E"/>
  </w:style>
  <w:style w:type="character" w:styleId="Hyperlink">
    <w:name w:val="Hyperlink"/>
    <w:basedOn w:val="DefaultParagraphFont"/>
    <w:uiPriority w:val="99"/>
    <w:unhideWhenUsed/>
    <w:rsid w:val="00FB04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4F4"/>
    <w:rPr>
      <w:color w:val="605E5C"/>
      <w:shd w:val="clear" w:color="auto" w:fill="E1DFDD"/>
    </w:rPr>
  </w:style>
  <w:style w:type="paragraph" w:customStyle="1" w:styleId="BodytextAgency">
    <w:name w:val="Body text (Agency)"/>
    <w:basedOn w:val="Normal"/>
    <w:link w:val="BodytextAgencyChar"/>
    <w:rsid w:val="00485A41"/>
    <w:pPr>
      <w:spacing w:after="140" w:line="280" w:lineRule="atLeast"/>
    </w:pPr>
  </w:style>
  <w:style w:type="table" w:customStyle="1" w:styleId="TablegridAgency">
    <w:name w:val="Table grid (Agency)"/>
    <w:basedOn w:val="TableNormal"/>
    <w:rsid w:val="00485A41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character" w:customStyle="1" w:styleId="BodytextAgencyChar">
    <w:name w:val="Body text (Agency) Char"/>
    <w:link w:val="BodytextAgency"/>
    <w:rsid w:val="00485A41"/>
    <w:rPr>
      <w:rFonts w:ascii="Verdana" w:eastAsia="Times New Roman" w:hAnsi="Verdana" w:cs="Times New Roman"/>
      <w:sz w:val="18"/>
      <w:szCs w:val="20"/>
      <w:lang w:eastAsia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B4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5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580"/>
    <w:rPr>
      <w:rFonts w:ascii="Verdana" w:eastAsia="Times New Roman" w:hAnsi="Verdana" w:cs="Times New Roman"/>
      <w:sz w:val="20"/>
      <w:szCs w:val="20"/>
      <w:lang w:eastAsia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580"/>
    <w:rPr>
      <w:rFonts w:ascii="Verdana" w:eastAsia="Times New Roman" w:hAnsi="Verdana" w:cs="Times New Roman"/>
      <w:b/>
      <w:bCs/>
      <w:sz w:val="20"/>
      <w:szCs w:val="2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5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3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22944-4654-4260-B416-F3D07228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PPsaras</cp:lastModifiedBy>
  <cp:revision>3</cp:revision>
  <cp:lastPrinted>2021-07-23T06:13:00Z</cp:lastPrinted>
  <dcterms:created xsi:type="dcterms:W3CDTF">2021-10-13T10:45:00Z</dcterms:created>
  <dcterms:modified xsi:type="dcterms:W3CDTF">2021-10-13T10:45:00Z</dcterms:modified>
</cp:coreProperties>
</file>